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D05B" w14:textId="425446CD" w:rsidR="00D76F49" w:rsidRPr="009E654B" w:rsidRDefault="00D76F49" w:rsidP="00036B49">
      <w:pPr>
        <w:jc w:val="both"/>
        <w:rPr>
          <w:noProof/>
          <w:lang w:val="en-GB"/>
        </w:rPr>
      </w:pPr>
      <w:r w:rsidRPr="009E654B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 xml:space="preserve">Warsaw, </w:t>
      </w:r>
      <w:r w:rsidR="00306E56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>30</w:t>
      </w:r>
      <w:r w:rsidR="00C221DA" w:rsidRPr="009E654B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 xml:space="preserve"> September </w:t>
      </w:r>
      <w:r w:rsidRPr="009E654B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>202</w:t>
      </w:r>
      <w:r w:rsidR="00FE22A0" w:rsidRPr="009E654B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>5</w:t>
      </w:r>
    </w:p>
    <w:p w14:paraId="6C679BBC" w14:textId="73059DFB" w:rsidR="00D76F49" w:rsidRPr="009E654B" w:rsidRDefault="006D4380" w:rsidP="00036B49">
      <w:pPr>
        <w:jc w:val="both"/>
        <w:rPr>
          <w:rFonts w:ascii="Arial" w:hAnsi="Arial" w:cs="Arial"/>
          <w:b/>
          <w:bCs/>
          <w:sz w:val="32"/>
          <w:szCs w:val="32"/>
          <w:lang w:val="en-GB"/>
        </w:rPr>
      </w:pPr>
      <w:r w:rsidRPr="009E654B">
        <w:rPr>
          <w:noProof/>
          <w:lang w:val="en-GB"/>
        </w:rPr>
        <w:drawing>
          <wp:inline distT="0" distB="0" distL="0" distR="0" wp14:anchorId="69869942" wp14:editId="24C7E048">
            <wp:extent cx="5760720" cy="243840"/>
            <wp:effectExtent l="0" t="0" r="0" b="3810"/>
            <wp:docPr id="595482695" name="Obraz 1" descr="Pole tekst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e tekstow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1D6F9" w14:textId="7DC77323" w:rsidR="00E04772" w:rsidRPr="009E654B" w:rsidRDefault="0020074C" w:rsidP="00681659">
      <w:pPr>
        <w:jc w:val="both"/>
        <w:rPr>
          <w:rFonts w:ascii="Arial" w:hAnsi="Arial" w:cs="Arial"/>
          <w:b/>
          <w:bCs/>
          <w:sz w:val="40"/>
          <w:szCs w:val="40"/>
          <w:lang w:val="en-GB"/>
        </w:rPr>
      </w:pPr>
      <w:r w:rsidRPr="009E654B">
        <w:rPr>
          <w:rFonts w:ascii="Arial" w:hAnsi="Arial" w:cs="Arial"/>
          <w:b/>
          <w:bCs/>
          <w:sz w:val="40"/>
          <w:szCs w:val="40"/>
          <w:lang w:val="en-GB"/>
        </w:rPr>
        <w:t>H1</w:t>
      </w:r>
      <w:r w:rsidR="00EA120B" w:rsidRPr="009E654B">
        <w:rPr>
          <w:rFonts w:ascii="Arial" w:hAnsi="Arial" w:cs="Arial"/>
          <w:b/>
          <w:bCs/>
          <w:sz w:val="40"/>
          <w:szCs w:val="40"/>
          <w:lang w:val="en-GB"/>
        </w:rPr>
        <w:t xml:space="preserve"> 2025</w:t>
      </w:r>
      <w:r w:rsidR="00681659" w:rsidRPr="009E654B">
        <w:rPr>
          <w:rFonts w:ascii="Arial" w:hAnsi="Arial" w:cs="Arial"/>
          <w:b/>
          <w:bCs/>
          <w:sz w:val="40"/>
          <w:szCs w:val="40"/>
          <w:lang w:val="en-GB"/>
        </w:rPr>
        <w:t xml:space="preserve">: </w:t>
      </w:r>
      <w:r w:rsidR="00BC6BB8" w:rsidRPr="009E654B">
        <w:rPr>
          <w:rFonts w:ascii="Arial" w:hAnsi="Arial" w:cs="Arial"/>
          <w:b/>
          <w:bCs/>
          <w:sz w:val="40"/>
          <w:szCs w:val="40"/>
          <w:lang w:val="en-GB"/>
        </w:rPr>
        <w:t xml:space="preserve">Tenants </w:t>
      </w:r>
      <w:r w:rsidR="00B639DA" w:rsidRPr="009E654B">
        <w:rPr>
          <w:rFonts w:ascii="Arial" w:hAnsi="Arial" w:cs="Arial"/>
          <w:b/>
          <w:bCs/>
          <w:sz w:val="40"/>
          <w:szCs w:val="40"/>
          <w:lang w:val="en-GB"/>
        </w:rPr>
        <w:t xml:space="preserve">show no sign of slowing despite </w:t>
      </w:r>
      <w:r w:rsidR="00F14FF9" w:rsidRPr="009E654B">
        <w:rPr>
          <w:rFonts w:ascii="Arial" w:hAnsi="Arial" w:cs="Arial"/>
          <w:b/>
          <w:bCs/>
          <w:sz w:val="40"/>
          <w:szCs w:val="40"/>
          <w:lang w:val="en-GB"/>
        </w:rPr>
        <w:t>lower industrial and logistics availability</w:t>
      </w:r>
    </w:p>
    <w:p w14:paraId="56E04CB6" w14:textId="77777777" w:rsidR="00F65FCB" w:rsidRPr="009E654B" w:rsidRDefault="00F65FCB" w:rsidP="00036B49">
      <w:p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B06A944" w14:textId="49F29641" w:rsidR="0096086D" w:rsidRPr="009E654B" w:rsidRDefault="00B02AE3" w:rsidP="00036B49">
      <w:p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9E654B">
        <w:rPr>
          <w:rFonts w:ascii="Arial" w:hAnsi="Arial" w:cs="Arial"/>
          <w:b/>
          <w:bCs/>
          <w:sz w:val="24"/>
          <w:szCs w:val="24"/>
          <w:lang w:val="en-GB"/>
        </w:rPr>
        <w:t>Industrial and logistics take-up remain</w:t>
      </w:r>
      <w:r w:rsidR="001E5821" w:rsidRPr="009E654B">
        <w:rPr>
          <w:rFonts w:ascii="Arial" w:hAnsi="Arial" w:cs="Arial"/>
          <w:b/>
          <w:bCs/>
          <w:sz w:val="24"/>
          <w:szCs w:val="24"/>
          <w:lang w:val="en-GB"/>
        </w:rPr>
        <w:t>ed</w:t>
      </w:r>
      <w:r w:rsidRPr="009E654B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F45418" w:rsidRPr="009E654B">
        <w:rPr>
          <w:rFonts w:ascii="Arial" w:hAnsi="Arial" w:cs="Arial"/>
          <w:b/>
          <w:bCs/>
          <w:sz w:val="24"/>
          <w:szCs w:val="24"/>
          <w:lang w:val="en-GB"/>
        </w:rPr>
        <w:t>robust</w:t>
      </w:r>
      <w:r w:rsidRPr="009E654B">
        <w:rPr>
          <w:rFonts w:ascii="Arial" w:hAnsi="Arial" w:cs="Arial"/>
          <w:b/>
          <w:bCs/>
          <w:sz w:val="24"/>
          <w:szCs w:val="24"/>
          <w:lang w:val="en-GB"/>
        </w:rPr>
        <w:t>, driven primarily by e-commerce and retail tenants.</w:t>
      </w:r>
      <w:r w:rsidR="001E5821" w:rsidRPr="009E654B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F45418" w:rsidRPr="009E654B">
        <w:rPr>
          <w:rFonts w:ascii="Arial" w:hAnsi="Arial" w:cs="Arial"/>
          <w:b/>
          <w:bCs/>
          <w:sz w:val="24"/>
          <w:szCs w:val="24"/>
          <w:lang w:val="en-GB"/>
        </w:rPr>
        <w:t>At the same time</w:t>
      </w:r>
      <w:r w:rsidR="001E5821" w:rsidRPr="009E654B">
        <w:rPr>
          <w:rFonts w:ascii="Arial" w:hAnsi="Arial" w:cs="Arial"/>
          <w:b/>
          <w:bCs/>
          <w:sz w:val="24"/>
          <w:szCs w:val="24"/>
          <w:lang w:val="en-GB"/>
        </w:rPr>
        <w:t xml:space="preserve">, the </w:t>
      </w:r>
      <w:r w:rsidR="00114635" w:rsidRPr="009E654B">
        <w:rPr>
          <w:rFonts w:ascii="Arial" w:hAnsi="Arial" w:cs="Arial"/>
          <w:b/>
          <w:bCs/>
          <w:sz w:val="24"/>
          <w:szCs w:val="24"/>
          <w:lang w:val="en-GB"/>
        </w:rPr>
        <w:t>market experience</w:t>
      </w:r>
      <w:r w:rsidR="00E4089C" w:rsidRPr="009E654B">
        <w:rPr>
          <w:rFonts w:ascii="Arial" w:hAnsi="Arial" w:cs="Arial"/>
          <w:b/>
          <w:bCs/>
          <w:sz w:val="24"/>
          <w:szCs w:val="24"/>
          <w:lang w:val="en-GB"/>
        </w:rPr>
        <w:t>d</w:t>
      </w:r>
      <w:r w:rsidR="00114635" w:rsidRPr="009E654B">
        <w:rPr>
          <w:rFonts w:ascii="Arial" w:hAnsi="Arial" w:cs="Arial"/>
          <w:b/>
          <w:bCs/>
          <w:sz w:val="24"/>
          <w:szCs w:val="24"/>
          <w:lang w:val="en-GB"/>
        </w:rPr>
        <w:t xml:space="preserve"> a slowdown</w:t>
      </w:r>
      <w:r w:rsidR="00E4195F">
        <w:rPr>
          <w:rFonts w:ascii="Arial" w:hAnsi="Arial" w:cs="Arial"/>
          <w:b/>
          <w:bCs/>
          <w:sz w:val="24"/>
          <w:szCs w:val="24"/>
          <w:lang w:val="en-GB"/>
        </w:rPr>
        <w:t xml:space="preserve"> in </w:t>
      </w:r>
      <w:r w:rsidR="008A4E34">
        <w:rPr>
          <w:rFonts w:ascii="Arial" w:hAnsi="Arial" w:cs="Arial"/>
          <w:b/>
          <w:bCs/>
          <w:sz w:val="24"/>
          <w:szCs w:val="24"/>
          <w:lang w:val="en-GB"/>
        </w:rPr>
        <w:t>construction</w:t>
      </w:r>
      <w:r w:rsidR="00E4195F">
        <w:rPr>
          <w:rFonts w:ascii="Arial" w:hAnsi="Arial" w:cs="Arial"/>
          <w:b/>
          <w:bCs/>
          <w:sz w:val="24"/>
          <w:szCs w:val="24"/>
          <w:lang w:val="en-GB"/>
        </w:rPr>
        <w:t xml:space="preserve"> activity</w:t>
      </w:r>
      <w:r w:rsidR="00114635" w:rsidRPr="009E654B">
        <w:rPr>
          <w:rFonts w:ascii="Arial" w:hAnsi="Arial" w:cs="Arial"/>
          <w:b/>
          <w:bCs/>
          <w:sz w:val="24"/>
          <w:szCs w:val="24"/>
          <w:lang w:val="en-GB"/>
        </w:rPr>
        <w:t xml:space="preserve">, with developers </w:t>
      </w:r>
      <w:r w:rsidR="00C80616" w:rsidRPr="009E654B">
        <w:rPr>
          <w:rFonts w:ascii="Arial" w:hAnsi="Arial" w:cs="Arial"/>
          <w:b/>
          <w:bCs/>
          <w:sz w:val="24"/>
          <w:szCs w:val="24"/>
          <w:lang w:val="en-GB"/>
        </w:rPr>
        <w:t xml:space="preserve">delivering fewer </w:t>
      </w:r>
      <w:r w:rsidR="001119C7" w:rsidRPr="009E654B">
        <w:rPr>
          <w:rFonts w:ascii="Arial" w:hAnsi="Arial" w:cs="Arial"/>
          <w:b/>
          <w:bCs/>
          <w:sz w:val="24"/>
          <w:szCs w:val="24"/>
          <w:lang w:val="en-GB"/>
        </w:rPr>
        <w:t>new facilities</w:t>
      </w:r>
      <w:r w:rsidR="00C80616" w:rsidRPr="009E654B">
        <w:rPr>
          <w:rFonts w:ascii="Arial" w:hAnsi="Arial" w:cs="Arial"/>
          <w:b/>
          <w:bCs/>
          <w:sz w:val="24"/>
          <w:szCs w:val="24"/>
          <w:lang w:val="en-GB"/>
        </w:rPr>
        <w:t xml:space="preserve"> and </w:t>
      </w:r>
      <w:r w:rsidR="0022455C">
        <w:rPr>
          <w:rFonts w:ascii="Arial" w:hAnsi="Arial" w:cs="Arial"/>
          <w:b/>
          <w:bCs/>
          <w:sz w:val="24"/>
          <w:szCs w:val="24"/>
          <w:lang w:val="en-GB"/>
        </w:rPr>
        <w:t xml:space="preserve">taking </w:t>
      </w:r>
      <w:r w:rsidR="004F1AB3">
        <w:rPr>
          <w:rFonts w:ascii="Arial" w:hAnsi="Arial" w:cs="Arial"/>
          <w:b/>
          <w:bCs/>
          <w:sz w:val="24"/>
          <w:szCs w:val="24"/>
          <w:lang w:val="en-GB"/>
        </w:rPr>
        <w:t xml:space="preserve">a more cautious approach to </w:t>
      </w:r>
      <w:r w:rsidR="001119C7" w:rsidRPr="009E654B">
        <w:rPr>
          <w:rFonts w:ascii="Arial" w:hAnsi="Arial" w:cs="Arial"/>
          <w:b/>
          <w:bCs/>
          <w:sz w:val="24"/>
          <w:szCs w:val="24"/>
          <w:lang w:val="en-GB"/>
        </w:rPr>
        <w:t>new project</w:t>
      </w:r>
      <w:r w:rsidR="007B2EAC" w:rsidRPr="009E654B">
        <w:rPr>
          <w:rFonts w:ascii="Arial" w:hAnsi="Arial" w:cs="Arial"/>
          <w:b/>
          <w:bCs/>
          <w:sz w:val="24"/>
          <w:szCs w:val="24"/>
          <w:lang w:val="en-GB"/>
        </w:rPr>
        <w:t xml:space="preserve"> start</w:t>
      </w:r>
      <w:r w:rsidR="001119C7" w:rsidRPr="009E654B">
        <w:rPr>
          <w:rFonts w:ascii="Arial" w:hAnsi="Arial" w:cs="Arial"/>
          <w:b/>
          <w:bCs/>
          <w:sz w:val="24"/>
          <w:szCs w:val="24"/>
          <w:lang w:val="en-GB"/>
        </w:rPr>
        <w:t>s</w:t>
      </w:r>
      <w:r w:rsidR="0096086D" w:rsidRPr="009E654B">
        <w:rPr>
          <w:rFonts w:ascii="Arial" w:hAnsi="Arial" w:cs="Arial"/>
          <w:b/>
          <w:bCs/>
          <w:sz w:val="24"/>
          <w:szCs w:val="24"/>
          <w:lang w:val="en-GB"/>
        </w:rPr>
        <w:t xml:space="preserve">. </w:t>
      </w:r>
    </w:p>
    <w:p w14:paraId="05D0CB39" w14:textId="77777777" w:rsidR="00F65FCB" w:rsidRPr="009E654B" w:rsidRDefault="00F65FCB" w:rsidP="00036B49">
      <w:pPr>
        <w:jc w:val="both"/>
        <w:rPr>
          <w:rFonts w:ascii="Arial" w:hAnsi="Arial" w:cs="Arial"/>
          <w:b/>
          <w:bCs/>
          <w:color w:val="00B050"/>
          <w:lang w:val="en-GB"/>
        </w:rPr>
      </w:pPr>
    </w:p>
    <w:p w14:paraId="03D8F69A" w14:textId="06513312" w:rsidR="00DA2148" w:rsidRPr="009E654B" w:rsidRDefault="00752E56" w:rsidP="00036B49">
      <w:pPr>
        <w:jc w:val="both"/>
        <w:rPr>
          <w:rFonts w:ascii="Arial" w:hAnsi="Arial" w:cs="Arial"/>
          <w:b/>
          <w:bCs/>
          <w:color w:val="00B050"/>
          <w:lang w:val="en-GB"/>
        </w:rPr>
      </w:pPr>
      <w:r w:rsidRPr="009E654B">
        <w:rPr>
          <w:rFonts w:ascii="Arial" w:hAnsi="Arial" w:cs="Arial"/>
          <w:b/>
          <w:bCs/>
          <w:color w:val="00B050"/>
          <w:lang w:val="en-GB"/>
        </w:rPr>
        <w:t>Sector stock grows</w:t>
      </w:r>
    </w:p>
    <w:p w14:paraId="7B8EFF52" w14:textId="7784371F" w:rsidR="00EF40FE" w:rsidRPr="009E654B" w:rsidRDefault="00D64812" w:rsidP="00E04772">
      <w:pPr>
        <w:jc w:val="both"/>
        <w:rPr>
          <w:rFonts w:ascii="Arial" w:hAnsi="Arial" w:cs="Arial"/>
          <w:lang w:val="en-GB"/>
        </w:rPr>
      </w:pPr>
      <w:r w:rsidRPr="009E654B">
        <w:rPr>
          <w:rFonts w:ascii="Arial" w:hAnsi="Arial" w:cs="Arial"/>
          <w:lang w:val="en-GB"/>
        </w:rPr>
        <w:t xml:space="preserve">According to </w:t>
      </w:r>
      <w:r w:rsidR="00FE22A0" w:rsidRPr="009E654B">
        <w:rPr>
          <w:rFonts w:ascii="Arial" w:hAnsi="Arial" w:cs="Arial"/>
          <w:i/>
          <w:iCs/>
          <w:lang w:val="en-GB"/>
        </w:rPr>
        <w:t>Review</w:t>
      </w:r>
      <w:r w:rsidR="00470BA6" w:rsidRPr="009E654B">
        <w:rPr>
          <w:rFonts w:ascii="Arial" w:hAnsi="Arial" w:cs="Arial"/>
          <w:i/>
          <w:iCs/>
          <w:lang w:val="en-GB"/>
        </w:rPr>
        <w:t>:</w:t>
      </w:r>
      <w:r w:rsidR="00FE22A0" w:rsidRPr="009E654B">
        <w:rPr>
          <w:rFonts w:ascii="Arial" w:hAnsi="Arial" w:cs="Arial"/>
          <w:i/>
          <w:iCs/>
          <w:lang w:val="en-GB"/>
        </w:rPr>
        <w:t xml:space="preserve"> </w:t>
      </w:r>
      <w:r w:rsidR="003C75AC" w:rsidRPr="009E654B">
        <w:rPr>
          <w:rFonts w:ascii="Arial" w:hAnsi="Arial" w:cs="Arial"/>
          <w:i/>
          <w:iCs/>
          <w:lang w:val="en-GB"/>
        </w:rPr>
        <w:t>Industrial and Logistics Market in Poland,</w:t>
      </w:r>
      <w:r w:rsidRPr="009E654B">
        <w:rPr>
          <w:rFonts w:ascii="Arial" w:hAnsi="Arial" w:cs="Arial"/>
          <w:lang w:val="en-GB"/>
        </w:rPr>
        <w:t xml:space="preserve"> </w:t>
      </w:r>
      <w:r w:rsidR="003C75AC" w:rsidRPr="009E654B">
        <w:rPr>
          <w:rFonts w:ascii="Arial" w:hAnsi="Arial" w:cs="Arial"/>
          <w:lang w:val="en-GB"/>
        </w:rPr>
        <w:t>the latest</w:t>
      </w:r>
      <w:r w:rsidR="00A00040" w:rsidRPr="009E654B">
        <w:rPr>
          <w:rFonts w:ascii="Arial" w:hAnsi="Arial" w:cs="Arial"/>
          <w:lang w:val="en-GB"/>
        </w:rPr>
        <w:t xml:space="preserve"> </w:t>
      </w:r>
      <w:r w:rsidRPr="009E654B">
        <w:rPr>
          <w:rFonts w:ascii="Arial" w:hAnsi="Arial" w:cs="Arial"/>
          <w:lang w:val="en-GB"/>
        </w:rPr>
        <w:t>report from</w:t>
      </w:r>
      <w:r w:rsidR="003C75AC" w:rsidRPr="009E654B">
        <w:rPr>
          <w:rFonts w:ascii="Arial" w:hAnsi="Arial" w:cs="Arial"/>
          <w:lang w:val="en-GB"/>
        </w:rPr>
        <w:t xml:space="preserve"> </w:t>
      </w:r>
      <w:r w:rsidR="00FE22A0" w:rsidRPr="009E654B">
        <w:rPr>
          <w:rFonts w:ascii="Arial" w:hAnsi="Arial" w:cs="Arial"/>
          <w:lang w:val="en-GB"/>
        </w:rPr>
        <w:t>BNP Paribas Real Estate Poland</w:t>
      </w:r>
      <w:r w:rsidR="0096086D" w:rsidRPr="009E654B">
        <w:rPr>
          <w:rFonts w:ascii="Arial" w:hAnsi="Arial" w:cs="Arial"/>
          <w:lang w:val="en-GB"/>
        </w:rPr>
        <w:t xml:space="preserve"> </w:t>
      </w:r>
      <w:r w:rsidR="00A00040" w:rsidRPr="009E654B">
        <w:rPr>
          <w:rFonts w:ascii="Arial" w:hAnsi="Arial" w:cs="Arial"/>
          <w:lang w:val="en-GB"/>
        </w:rPr>
        <w:t xml:space="preserve">for the second quarter of </w:t>
      </w:r>
      <w:r w:rsidR="0096086D" w:rsidRPr="009E654B">
        <w:rPr>
          <w:rFonts w:ascii="Arial" w:hAnsi="Arial" w:cs="Arial"/>
          <w:lang w:val="en-GB"/>
        </w:rPr>
        <w:t>2025</w:t>
      </w:r>
      <w:r w:rsidR="00FE22A0" w:rsidRPr="009E654B">
        <w:rPr>
          <w:rFonts w:ascii="Arial" w:hAnsi="Arial" w:cs="Arial"/>
          <w:lang w:val="en-GB"/>
        </w:rPr>
        <w:t>,</w:t>
      </w:r>
      <w:r w:rsidR="00E04772" w:rsidRPr="009E654B">
        <w:rPr>
          <w:rFonts w:ascii="Arial" w:hAnsi="Arial" w:cs="Arial"/>
          <w:lang w:val="en-GB"/>
        </w:rPr>
        <w:t xml:space="preserve"> </w:t>
      </w:r>
      <w:r w:rsidR="00A00040" w:rsidRPr="009E654B">
        <w:rPr>
          <w:rFonts w:ascii="Arial" w:hAnsi="Arial" w:cs="Arial"/>
          <w:lang w:val="en-GB"/>
        </w:rPr>
        <w:t>Poland’s total stock surpassed the 36 million sqm mark</w:t>
      </w:r>
      <w:r w:rsidR="00125602" w:rsidRPr="009E654B">
        <w:rPr>
          <w:rFonts w:ascii="Arial" w:hAnsi="Arial" w:cs="Arial"/>
          <w:lang w:val="en-GB"/>
        </w:rPr>
        <w:t xml:space="preserve">, </w:t>
      </w:r>
      <w:r w:rsidR="00470BA6" w:rsidRPr="009E654B">
        <w:rPr>
          <w:rFonts w:ascii="Arial" w:hAnsi="Arial" w:cs="Arial"/>
          <w:lang w:val="en-GB"/>
        </w:rPr>
        <w:t xml:space="preserve">marking a </w:t>
      </w:r>
      <w:r w:rsidR="00125602" w:rsidRPr="009E654B">
        <w:rPr>
          <w:rFonts w:ascii="Arial" w:hAnsi="Arial" w:cs="Arial"/>
          <w:lang w:val="en-GB"/>
        </w:rPr>
        <w:t xml:space="preserve">7.5% </w:t>
      </w:r>
      <w:r w:rsidR="00470BA6" w:rsidRPr="009E654B">
        <w:rPr>
          <w:rFonts w:ascii="Arial" w:hAnsi="Arial" w:cs="Arial"/>
          <w:lang w:val="en-GB"/>
        </w:rPr>
        <w:t xml:space="preserve">increase </w:t>
      </w:r>
      <w:r w:rsidR="00125602" w:rsidRPr="009E654B">
        <w:rPr>
          <w:rFonts w:ascii="Arial" w:hAnsi="Arial" w:cs="Arial"/>
          <w:lang w:val="en-GB"/>
        </w:rPr>
        <w:t>compared with the same period last year</w:t>
      </w:r>
      <w:r w:rsidR="00E04772" w:rsidRPr="009E654B">
        <w:rPr>
          <w:rFonts w:ascii="Arial" w:hAnsi="Arial" w:cs="Arial"/>
          <w:lang w:val="en-GB"/>
        </w:rPr>
        <w:t>.</w:t>
      </w:r>
    </w:p>
    <w:p w14:paraId="172A12CE" w14:textId="0A4B1BAF" w:rsidR="00850BF8" w:rsidRPr="009E654B" w:rsidRDefault="00F26B6C" w:rsidP="00E04772">
      <w:pPr>
        <w:jc w:val="both"/>
        <w:rPr>
          <w:rFonts w:ascii="Arial" w:hAnsi="Arial" w:cs="Arial"/>
          <w:lang w:val="en-GB"/>
        </w:rPr>
      </w:pPr>
      <w:r w:rsidRPr="009E654B">
        <w:rPr>
          <w:rFonts w:ascii="Arial" w:hAnsi="Arial" w:cs="Arial"/>
          <w:lang w:val="en-GB"/>
        </w:rPr>
        <w:t xml:space="preserve">Several </w:t>
      </w:r>
      <w:r w:rsidR="00263A41">
        <w:rPr>
          <w:rFonts w:ascii="Arial" w:hAnsi="Arial" w:cs="Arial"/>
          <w:lang w:val="en-GB"/>
        </w:rPr>
        <w:t xml:space="preserve">new </w:t>
      </w:r>
      <w:r w:rsidRPr="009E654B">
        <w:rPr>
          <w:rFonts w:ascii="Arial" w:hAnsi="Arial" w:cs="Arial"/>
          <w:lang w:val="en-GB"/>
        </w:rPr>
        <w:t xml:space="preserve">projects were </w:t>
      </w:r>
      <w:r w:rsidR="00597104">
        <w:rPr>
          <w:rFonts w:ascii="Arial" w:hAnsi="Arial" w:cs="Arial"/>
          <w:lang w:val="en-GB"/>
        </w:rPr>
        <w:t>delivered to the market</w:t>
      </w:r>
      <w:r w:rsidRPr="009E654B">
        <w:rPr>
          <w:rFonts w:ascii="Arial" w:hAnsi="Arial" w:cs="Arial"/>
          <w:lang w:val="en-GB"/>
        </w:rPr>
        <w:t xml:space="preserve"> by the end of June. The largest included</w:t>
      </w:r>
      <w:r w:rsidR="00AE6703" w:rsidRPr="009E654B">
        <w:rPr>
          <w:rFonts w:ascii="Arial" w:hAnsi="Arial" w:cs="Arial"/>
          <w:lang w:val="en-GB"/>
        </w:rPr>
        <w:t xml:space="preserve"> Panattoni’s </w:t>
      </w:r>
      <w:r w:rsidR="00850BF8" w:rsidRPr="009E654B">
        <w:rPr>
          <w:rFonts w:ascii="Arial" w:hAnsi="Arial" w:cs="Arial"/>
          <w:lang w:val="en-GB"/>
        </w:rPr>
        <w:t>Park Szczecin VI (</w:t>
      </w:r>
      <w:proofErr w:type="spellStart"/>
      <w:r w:rsidR="00850BF8" w:rsidRPr="009E654B">
        <w:rPr>
          <w:rFonts w:ascii="Arial" w:hAnsi="Arial" w:cs="Arial"/>
          <w:lang w:val="en-GB"/>
        </w:rPr>
        <w:t>Dunikowo</w:t>
      </w:r>
      <w:proofErr w:type="spellEnd"/>
      <w:r w:rsidR="00850BF8" w:rsidRPr="009E654B">
        <w:rPr>
          <w:rFonts w:ascii="Arial" w:hAnsi="Arial" w:cs="Arial"/>
          <w:lang w:val="en-GB"/>
        </w:rPr>
        <w:t>)</w:t>
      </w:r>
      <w:r w:rsidR="001C30F8">
        <w:rPr>
          <w:rFonts w:ascii="Arial" w:hAnsi="Arial" w:cs="Arial"/>
          <w:lang w:val="en-GB"/>
        </w:rPr>
        <w:t>, spanning</w:t>
      </w:r>
      <w:r w:rsidR="00850BF8" w:rsidRPr="009E654B">
        <w:rPr>
          <w:rFonts w:ascii="Arial" w:hAnsi="Arial" w:cs="Arial"/>
          <w:lang w:val="en-GB"/>
        </w:rPr>
        <w:t xml:space="preserve"> 54</w:t>
      </w:r>
      <w:r w:rsidR="00851B57" w:rsidRPr="009E654B">
        <w:rPr>
          <w:rFonts w:ascii="Arial" w:hAnsi="Arial" w:cs="Arial"/>
          <w:lang w:val="en-GB"/>
        </w:rPr>
        <w:t>,000 sqm</w:t>
      </w:r>
      <w:r w:rsidR="00016324" w:rsidRPr="009E654B">
        <w:rPr>
          <w:rFonts w:ascii="Arial" w:hAnsi="Arial" w:cs="Arial"/>
          <w:lang w:val="en-GB"/>
        </w:rPr>
        <w:t>;</w:t>
      </w:r>
      <w:r w:rsidR="009F1DFF" w:rsidRPr="009E654B">
        <w:rPr>
          <w:rFonts w:ascii="Arial" w:hAnsi="Arial" w:cs="Arial"/>
          <w:lang w:val="en-GB"/>
        </w:rPr>
        <w:t xml:space="preserve"> </w:t>
      </w:r>
      <w:r w:rsidR="00587198" w:rsidRPr="009E654B">
        <w:rPr>
          <w:rFonts w:ascii="Arial" w:hAnsi="Arial" w:cs="Arial"/>
          <w:lang w:val="en-GB"/>
        </w:rPr>
        <w:t xml:space="preserve">Hillwood’s </w:t>
      </w:r>
      <w:r w:rsidR="00176E9B" w:rsidRPr="009E654B">
        <w:rPr>
          <w:rFonts w:ascii="Arial" w:hAnsi="Arial" w:cs="Arial"/>
          <w:lang w:val="en-GB"/>
        </w:rPr>
        <w:t>facility in Grodzisk Mazowiecki, Warsaw II</w:t>
      </w:r>
      <w:r w:rsidR="00AE6703" w:rsidRPr="009E654B">
        <w:rPr>
          <w:rFonts w:ascii="Arial" w:hAnsi="Arial" w:cs="Arial"/>
          <w:lang w:val="en-GB"/>
        </w:rPr>
        <w:t xml:space="preserve">, </w:t>
      </w:r>
      <w:r w:rsidR="009E747C" w:rsidRPr="009E654B">
        <w:rPr>
          <w:rFonts w:ascii="Arial" w:hAnsi="Arial" w:cs="Arial"/>
          <w:lang w:val="en-GB"/>
        </w:rPr>
        <w:t xml:space="preserve">totalling 51,000 sqm; </w:t>
      </w:r>
      <w:r w:rsidR="00AE6703" w:rsidRPr="009E654B">
        <w:rPr>
          <w:rFonts w:ascii="Arial" w:hAnsi="Arial" w:cs="Arial"/>
          <w:lang w:val="en-GB"/>
        </w:rPr>
        <w:t>Panattoni’s</w:t>
      </w:r>
      <w:r w:rsidR="00850BF8" w:rsidRPr="009E654B">
        <w:rPr>
          <w:rFonts w:ascii="Arial" w:hAnsi="Arial" w:cs="Arial"/>
          <w:lang w:val="en-GB"/>
        </w:rPr>
        <w:t xml:space="preserve"> Park Sosnowiec Expo </w:t>
      </w:r>
      <w:r w:rsidR="009E747C" w:rsidRPr="009E654B">
        <w:rPr>
          <w:rFonts w:ascii="Arial" w:hAnsi="Arial" w:cs="Arial"/>
          <w:lang w:val="en-GB"/>
        </w:rPr>
        <w:t xml:space="preserve">in Upper Silesia, </w:t>
      </w:r>
      <w:r w:rsidR="00087FAA">
        <w:rPr>
          <w:rFonts w:ascii="Arial" w:hAnsi="Arial" w:cs="Arial"/>
          <w:lang w:val="en-GB"/>
        </w:rPr>
        <w:t>at</w:t>
      </w:r>
      <w:r w:rsidR="006526F2" w:rsidRPr="009E654B">
        <w:rPr>
          <w:rFonts w:ascii="Arial" w:hAnsi="Arial" w:cs="Arial"/>
          <w:lang w:val="en-GB"/>
        </w:rPr>
        <w:t xml:space="preserve"> </w:t>
      </w:r>
      <w:r w:rsidR="00850BF8" w:rsidRPr="009E654B">
        <w:rPr>
          <w:rFonts w:ascii="Arial" w:hAnsi="Arial" w:cs="Arial"/>
          <w:lang w:val="en-GB"/>
        </w:rPr>
        <w:t>47</w:t>
      </w:r>
      <w:r w:rsidR="006526F2" w:rsidRPr="009E654B">
        <w:rPr>
          <w:rFonts w:ascii="Arial" w:hAnsi="Arial" w:cs="Arial"/>
          <w:lang w:val="en-GB"/>
        </w:rPr>
        <w:t>,000 sqm</w:t>
      </w:r>
      <w:r w:rsidR="009E747C" w:rsidRPr="009E654B">
        <w:rPr>
          <w:rFonts w:ascii="Arial" w:hAnsi="Arial" w:cs="Arial"/>
          <w:lang w:val="en-GB"/>
        </w:rPr>
        <w:t>;</w:t>
      </w:r>
      <w:r w:rsidR="00850BF8" w:rsidRPr="009E654B">
        <w:rPr>
          <w:rFonts w:ascii="Arial" w:hAnsi="Arial" w:cs="Arial"/>
          <w:lang w:val="en-GB"/>
        </w:rPr>
        <w:t xml:space="preserve"> </w:t>
      </w:r>
      <w:r w:rsidR="006526F2" w:rsidRPr="009E654B">
        <w:rPr>
          <w:rFonts w:ascii="Arial" w:hAnsi="Arial" w:cs="Arial"/>
          <w:lang w:val="en-GB"/>
        </w:rPr>
        <w:t>and</w:t>
      </w:r>
      <w:r w:rsidR="00850BF8" w:rsidRPr="009E654B">
        <w:rPr>
          <w:rFonts w:ascii="Arial" w:hAnsi="Arial" w:cs="Arial"/>
          <w:lang w:val="en-GB"/>
        </w:rPr>
        <w:t xml:space="preserve"> </w:t>
      </w:r>
      <w:proofErr w:type="spellStart"/>
      <w:r w:rsidR="00850BF8" w:rsidRPr="009E654B">
        <w:rPr>
          <w:rFonts w:ascii="Arial" w:hAnsi="Arial" w:cs="Arial"/>
          <w:lang w:val="en-GB"/>
        </w:rPr>
        <w:t>LemonTree</w:t>
      </w:r>
      <w:r w:rsidR="006526F2" w:rsidRPr="009E654B">
        <w:rPr>
          <w:rFonts w:ascii="Arial" w:hAnsi="Arial" w:cs="Arial"/>
          <w:lang w:val="en-GB"/>
        </w:rPr>
        <w:t>’s</w:t>
      </w:r>
      <w:proofErr w:type="spellEnd"/>
      <w:r w:rsidR="006526F2" w:rsidRPr="009E654B">
        <w:rPr>
          <w:rFonts w:ascii="Arial" w:hAnsi="Arial" w:cs="Arial"/>
          <w:lang w:val="en-GB"/>
        </w:rPr>
        <w:t xml:space="preserve"> </w:t>
      </w:r>
      <w:r w:rsidR="003759D0" w:rsidRPr="009E654B">
        <w:rPr>
          <w:rFonts w:ascii="Arial" w:hAnsi="Arial" w:cs="Arial"/>
          <w:lang w:val="en-GB"/>
        </w:rPr>
        <w:t xml:space="preserve">Booster Zabrze </w:t>
      </w:r>
      <w:r w:rsidR="006508CA" w:rsidRPr="009E654B">
        <w:rPr>
          <w:rFonts w:ascii="Arial" w:hAnsi="Arial" w:cs="Arial"/>
          <w:lang w:val="en-GB"/>
        </w:rPr>
        <w:t>at</w:t>
      </w:r>
      <w:r w:rsidR="003759D0" w:rsidRPr="009E654B">
        <w:rPr>
          <w:rFonts w:ascii="Arial" w:hAnsi="Arial" w:cs="Arial"/>
          <w:lang w:val="en-GB"/>
        </w:rPr>
        <w:t xml:space="preserve"> 38,000</w:t>
      </w:r>
      <w:r w:rsidR="00850BF8" w:rsidRPr="009E654B">
        <w:rPr>
          <w:rFonts w:ascii="Arial" w:hAnsi="Arial" w:cs="Arial"/>
          <w:lang w:val="en-GB"/>
        </w:rPr>
        <w:t xml:space="preserve"> </w:t>
      </w:r>
      <w:r w:rsidR="003759D0" w:rsidRPr="009E654B">
        <w:rPr>
          <w:rFonts w:ascii="Arial" w:hAnsi="Arial" w:cs="Arial"/>
          <w:lang w:val="en-GB"/>
        </w:rPr>
        <w:t>sqm</w:t>
      </w:r>
      <w:r w:rsidR="00850BF8" w:rsidRPr="009E654B">
        <w:rPr>
          <w:rFonts w:ascii="Arial" w:hAnsi="Arial" w:cs="Arial"/>
          <w:lang w:val="en-GB"/>
        </w:rPr>
        <w:t>.</w:t>
      </w:r>
    </w:p>
    <w:p w14:paraId="2AAB95C8" w14:textId="4E9BF70A" w:rsidR="00A32F7B" w:rsidRPr="009E654B" w:rsidRDefault="00833F26" w:rsidP="00A32F7B">
      <w:pPr>
        <w:jc w:val="both"/>
        <w:rPr>
          <w:rFonts w:ascii="Arial" w:hAnsi="Arial" w:cs="Arial"/>
          <w:b/>
          <w:bCs/>
          <w:color w:val="00B050"/>
          <w:lang w:val="en-GB"/>
        </w:rPr>
      </w:pPr>
      <w:r w:rsidRPr="009E654B">
        <w:rPr>
          <w:rFonts w:ascii="Arial" w:hAnsi="Arial" w:cs="Arial"/>
          <w:b/>
          <w:bCs/>
          <w:color w:val="00B050"/>
          <w:lang w:val="en-GB"/>
        </w:rPr>
        <w:t xml:space="preserve">Projects </w:t>
      </w:r>
      <w:r w:rsidR="007B569D" w:rsidRPr="009E654B">
        <w:rPr>
          <w:rFonts w:ascii="Arial" w:hAnsi="Arial" w:cs="Arial"/>
          <w:b/>
          <w:bCs/>
          <w:color w:val="00B050"/>
          <w:lang w:val="en-GB"/>
        </w:rPr>
        <w:t>under way</w:t>
      </w:r>
      <w:r w:rsidR="009D5DA4" w:rsidRPr="009E654B">
        <w:rPr>
          <w:rFonts w:ascii="Arial" w:hAnsi="Arial" w:cs="Arial"/>
          <w:b/>
          <w:bCs/>
          <w:color w:val="00B050"/>
          <w:lang w:val="en-GB"/>
        </w:rPr>
        <w:t xml:space="preserve"> </w:t>
      </w:r>
    </w:p>
    <w:p w14:paraId="6C7F0C11" w14:textId="0874BCEA" w:rsidR="008B2A37" w:rsidRPr="009E654B" w:rsidRDefault="005D095E" w:rsidP="00A32F7B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Although </w:t>
      </w:r>
      <w:r w:rsidR="001F4D6D" w:rsidRPr="009E654B">
        <w:rPr>
          <w:rFonts w:ascii="Arial" w:hAnsi="Arial" w:cs="Arial"/>
          <w:lang w:val="en-GB"/>
        </w:rPr>
        <w:t>w</w:t>
      </w:r>
      <w:r w:rsidR="002C4BC4" w:rsidRPr="009E654B">
        <w:rPr>
          <w:rFonts w:ascii="Arial" w:hAnsi="Arial" w:cs="Arial"/>
          <w:lang w:val="en-GB"/>
        </w:rPr>
        <w:t>arehouse developers</w:t>
      </w:r>
      <w:r w:rsidR="001F4D6D" w:rsidRPr="009E654B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are taking a </w:t>
      </w:r>
      <w:r w:rsidR="001F4D6D" w:rsidRPr="009E654B">
        <w:rPr>
          <w:rFonts w:ascii="Arial" w:hAnsi="Arial" w:cs="Arial"/>
          <w:lang w:val="en-GB"/>
        </w:rPr>
        <w:t xml:space="preserve">cautious </w:t>
      </w:r>
      <w:r>
        <w:rPr>
          <w:rFonts w:ascii="Arial" w:hAnsi="Arial" w:cs="Arial"/>
          <w:lang w:val="en-GB"/>
        </w:rPr>
        <w:t>approach to</w:t>
      </w:r>
      <w:r w:rsidR="001F4D6D" w:rsidRPr="009E654B">
        <w:rPr>
          <w:rFonts w:ascii="Arial" w:hAnsi="Arial" w:cs="Arial"/>
          <w:lang w:val="en-GB"/>
        </w:rPr>
        <w:t xml:space="preserve"> launching new projects, </w:t>
      </w:r>
      <w:r w:rsidR="00C96833" w:rsidRPr="009E654B">
        <w:rPr>
          <w:rFonts w:ascii="Arial" w:hAnsi="Arial" w:cs="Arial"/>
          <w:lang w:val="en-GB"/>
        </w:rPr>
        <w:t>large</w:t>
      </w:r>
      <w:r w:rsidR="00C23838" w:rsidRPr="009E654B">
        <w:rPr>
          <w:rFonts w:ascii="Arial" w:hAnsi="Arial" w:cs="Arial"/>
          <w:lang w:val="en-GB"/>
        </w:rPr>
        <w:t xml:space="preserve">-scale </w:t>
      </w:r>
      <w:r w:rsidR="00516D67" w:rsidRPr="009E654B">
        <w:rPr>
          <w:rFonts w:ascii="Arial" w:hAnsi="Arial" w:cs="Arial"/>
          <w:lang w:val="en-GB"/>
        </w:rPr>
        <w:t xml:space="preserve">facilities </w:t>
      </w:r>
      <w:r w:rsidR="00C23838" w:rsidRPr="009E654B">
        <w:rPr>
          <w:rFonts w:ascii="Arial" w:hAnsi="Arial" w:cs="Arial"/>
          <w:lang w:val="en-GB"/>
        </w:rPr>
        <w:t xml:space="preserve">are </w:t>
      </w:r>
      <w:r>
        <w:rPr>
          <w:rFonts w:ascii="Arial" w:hAnsi="Arial" w:cs="Arial"/>
          <w:lang w:val="en-GB"/>
        </w:rPr>
        <w:t xml:space="preserve">still </w:t>
      </w:r>
      <w:r w:rsidR="00C23838" w:rsidRPr="009E654B">
        <w:rPr>
          <w:rFonts w:ascii="Arial" w:hAnsi="Arial" w:cs="Arial"/>
          <w:lang w:val="en-GB"/>
        </w:rPr>
        <w:t xml:space="preserve">scheduled </w:t>
      </w:r>
      <w:r w:rsidR="006E791C" w:rsidRPr="009E654B">
        <w:rPr>
          <w:rFonts w:ascii="Arial" w:hAnsi="Arial" w:cs="Arial"/>
          <w:lang w:val="en-GB"/>
        </w:rPr>
        <w:t>for delivery</w:t>
      </w:r>
      <w:r w:rsidR="00C23838" w:rsidRPr="009E654B">
        <w:rPr>
          <w:rFonts w:ascii="Arial" w:hAnsi="Arial" w:cs="Arial"/>
          <w:lang w:val="en-GB"/>
        </w:rPr>
        <w:t xml:space="preserve"> in the coming quarters. </w:t>
      </w:r>
      <w:r w:rsidR="008A2458" w:rsidRPr="009E654B">
        <w:rPr>
          <w:rFonts w:ascii="Arial" w:hAnsi="Arial" w:cs="Arial"/>
          <w:lang w:val="en-GB"/>
        </w:rPr>
        <w:t xml:space="preserve">At </w:t>
      </w:r>
      <w:r w:rsidR="006E791C" w:rsidRPr="009E654B">
        <w:rPr>
          <w:rFonts w:ascii="Arial" w:hAnsi="Arial" w:cs="Arial"/>
          <w:lang w:val="en-GB"/>
        </w:rPr>
        <w:t>the end of the first half of</w:t>
      </w:r>
      <w:r w:rsidR="008A2458" w:rsidRPr="009E654B">
        <w:rPr>
          <w:rFonts w:ascii="Arial" w:hAnsi="Arial" w:cs="Arial"/>
          <w:lang w:val="en-GB"/>
        </w:rPr>
        <w:t xml:space="preserve"> </w:t>
      </w:r>
      <w:r w:rsidR="00991DDD" w:rsidRPr="009E654B">
        <w:rPr>
          <w:rFonts w:ascii="Arial" w:hAnsi="Arial" w:cs="Arial"/>
          <w:lang w:val="en-GB"/>
        </w:rPr>
        <w:t>2025,</w:t>
      </w:r>
      <w:r w:rsidR="00516D67" w:rsidRPr="009E654B">
        <w:rPr>
          <w:rFonts w:ascii="Arial" w:hAnsi="Arial" w:cs="Arial"/>
          <w:lang w:val="en-GB"/>
        </w:rPr>
        <w:t xml:space="preserve"> the development pipeline stood at </w:t>
      </w:r>
      <w:r w:rsidR="00730B59" w:rsidRPr="009E654B">
        <w:rPr>
          <w:rFonts w:ascii="Arial" w:hAnsi="Arial" w:cs="Arial"/>
          <w:lang w:val="en-GB"/>
        </w:rPr>
        <w:t xml:space="preserve">1.5 million sqm, down approximately 26% year-on-year. </w:t>
      </w:r>
      <w:r w:rsidR="00E149E8" w:rsidRPr="009E654B">
        <w:rPr>
          <w:rFonts w:ascii="Arial" w:hAnsi="Arial" w:cs="Arial"/>
          <w:lang w:val="en-GB"/>
        </w:rPr>
        <w:t xml:space="preserve">The largest volume of </w:t>
      </w:r>
      <w:r>
        <w:rPr>
          <w:rFonts w:ascii="Arial" w:hAnsi="Arial" w:cs="Arial"/>
          <w:lang w:val="en-GB"/>
        </w:rPr>
        <w:t xml:space="preserve">new </w:t>
      </w:r>
      <w:r w:rsidR="00E149E8" w:rsidRPr="009E654B">
        <w:rPr>
          <w:rFonts w:ascii="Arial" w:hAnsi="Arial" w:cs="Arial"/>
          <w:lang w:val="en-GB"/>
        </w:rPr>
        <w:t xml:space="preserve">industrial and logistics space under construction was in </w:t>
      </w:r>
      <w:r w:rsidR="00F869C1" w:rsidRPr="009E654B">
        <w:rPr>
          <w:rFonts w:ascii="Arial" w:hAnsi="Arial" w:cs="Arial"/>
          <w:lang w:val="en-GB"/>
        </w:rPr>
        <w:t>Mazovia</w:t>
      </w:r>
      <w:r w:rsidR="004E5355" w:rsidRPr="009E654B">
        <w:rPr>
          <w:rFonts w:ascii="Arial" w:hAnsi="Arial" w:cs="Arial"/>
          <w:lang w:val="en-GB"/>
        </w:rPr>
        <w:t xml:space="preserve"> (</w:t>
      </w:r>
      <w:r w:rsidR="00F869C1" w:rsidRPr="009E654B">
        <w:rPr>
          <w:rFonts w:ascii="Arial" w:hAnsi="Arial" w:cs="Arial"/>
          <w:lang w:val="en-GB"/>
        </w:rPr>
        <w:t>435,000 sqm</w:t>
      </w:r>
      <w:r w:rsidR="004E5355" w:rsidRPr="009E654B">
        <w:rPr>
          <w:rFonts w:ascii="Arial" w:hAnsi="Arial" w:cs="Arial"/>
          <w:lang w:val="en-GB"/>
        </w:rPr>
        <w:t>)</w:t>
      </w:r>
      <w:r w:rsidR="008B2A37" w:rsidRPr="009E654B">
        <w:rPr>
          <w:rFonts w:ascii="Arial" w:hAnsi="Arial" w:cs="Arial"/>
          <w:lang w:val="en-GB"/>
        </w:rPr>
        <w:t xml:space="preserve">. </w:t>
      </w:r>
    </w:p>
    <w:p w14:paraId="2017B082" w14:textId="38C052E4" w:rsidR="00E04772" w:rsidRPr="009E654B" w:rsidRDefault="005D095E" w:rsidP="15B0461B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leading zones for development activity were</w:t>
      </w:r>
      <w:r w:rsidR="008B2A37" w:rsidRPr="009E654B">
        <w:rPr>
          <w:rFonts w:ascii="Arial" w:hAnsi="Arial" w:cs="Arial"/>
          <w:lang w:val="en-GB"/>
        </w:rPr>
        <w:t xml:space="preserve"> Warsaw II (28%), </w:t>
      </w:r>
      <w:r w:rsidR="006D0FB9" w:rsidRPr="009E654B">
        <w:rPr>
          <w:rFonts w:ascii="Arial" w:hAnsi="Arial" w:cs="Arial"/>
          <w:lang w:val="en-GB"/>
        </w:rPr>
        <w:t>Upper Silesia</w:t>
      </w:r>
      <w:r w:rsidR="008B2A37" w:rsidRPr="009E654B">
        <w:rPr>
          <w:rFonts w:ascii="Arial" w:hAnsi="Arial" w:cs="Arial"/>
          <w:lang w:val="en-GB"/>
        </w:rPr>
        <w:t xml:space="preserve"> (13%) </w:t>
      </w:r>
      <w:r w:rsidR="006D0FB9" w:rsidRPr="009E654B">
        <w:rPr>
          <w:rFonts w:ascii="Arial" w:hAnsi="Arial" w:cs="Arial"/>
          <w:lang w:val="en-GB"/>
        </w:rPr>
        <w:t>and Tricity</w:t>
      </w:r>
      <w:r w:rsidR="008B2A37" w:rsidRPr="009E654B">
        <w:rPr>
          <w:rFonts w:ascii="Arial" w:hAnsi="Arial" w:cs="Arial"/>
          <w:lang w:val="en-GB"/>
        </w:rPr>
        <w:t xml:space="preserve"> (12%). </w:t>
      </w:r>
      <w:r w:rsidR="006D0FB9" w:rsidRPr="009E654B">
        <w:rPr>
          <w:rFonts w:ascii="Arial" w:hAnsi="Arial" w:cs="Arial"/>
          <w:lang w:val="en-GB"/>
        </w:rPr>
        <w:t xml:space="preserve">The largest projects in the pipeline included </w:t>
      </w:r>
      <w:r w:rsidR="00555B30" w:rsidRPr="009E654B">
        <w:rPr>
          <w:rFonts w:ascii="Arial" w:hAnsi="Arial" w:cs="Arial"/>
          <w:lang w:val="en-GB"/>
        </w:rPr>
        <w:t xml:space="preserve">7R Park </w:t>
      </w:r>
      <w:proofErr w:type="spellStart"/>
      <w:r w:rsidR="00555B30" w:rsidRPr="009E654B">
        <w:rPr>
          <w:rFonts w:ascii="Arial" w:hAnsi="Arial" w:cs="Arial"/>
          <w:lang w:val="en-GB"/>
        </w:rPr>
        <w:t>Gdańsk</w:t>
      </w:r>
      <w:proofErr w:type="spellEnd"/>
      <w:r w:rsidR="00555B30" w:rsidRPr="009E654B">
        <w:rPr>
          <w:rFonts w:ascii="Arial" w:hAnsi="Arial" w:cs="Arial"/>
          <w:lang w:val="en-GB"/>
        </w:rPr>
        <w:t xml:space="preserve"> III (80</w:t>
      </w:r>
      <w:r w:rsidR="007F2461" w:rsidRPr="009E654B">
        <w:rPr>
          <w:rFonts w:ascii="Arial" w:hAnsi="Arial" w:cs="Arial"/>
          <w:lang w:val="en-GB"/>
        </w:rPr>
        <w:t>,000 sqm of new space</w:t>
      </w:r>
      <w:r w:rsidR="00555B30" w:rsidRPr="009E654B">
        <w:rPr>
          <w:rFonts w:ascii="Arial" w:hAnsi="Arial" w:cs="Arial"/>
          <w:lang w:val="en-GB"/>
        </w:rPr>
        <w:t>)</w:t>
      </w:r>
      <w:r w:rsidR="00506F01">
        <w:rPr>
          <w:rFonts w:ascii="Arial" w:hAnsi="Arial" w:cs="Arial"/>
          <w:lang w:val="en-GB"/>
        </w:rPr>
        <w:t>,</w:t>
      </w:r>
      <w:r w:rsidR="007F2461" w:rsidRPr="009E654B">
        <w:rPr>
          <w:rFonts w:ascii="Arial" w:hAnsi="Arial" w:cs="Arial"/>
          <w:lang w:val="en-GB"/>
        </w:rPr>
        <w:t xml:space="preserve"> Panattoni’s </w:t>
      </w:r>
      <w:r w:rsidR="00555B30" w:rsidRPr="009E654B">
        <w:rPr>
          <w:rFonts w:ascii="Arial" w:hAnsi="Arial" w:cs="Arial"/>
          <w:lang w:val="en-GB"/>
        </w:rPr>
        <w:t>Park Rzeszów West (73</w:t>
      </w:r>
      <w:r w:rsidR="007F2461" w:rsidRPr="009E654B">
        <w:rPr>
          <w:rFonts w:ascii="Arial" w:hAnsi="Arial" w:cs="Arial"/>
          <w:lang w:val="en-GB"/>
        </w:rPr>
        <w:t>,000 sqm</w:t>
      </w:r>
      <w:r w:rsidR="00555B30" w:rsidRPr="009E654B">
        <w:rPr>
          <w:rFonts w:ascii="Arial" w:hAnsi="Arial" w:cs="Arial"/>
          <w:lang w:val="en-GB"/>
        </w:rPr>
        <w:t xml:space="preserve">) </w:t>
      </w:r>
      <w:r w:rsidR="007F2461" w:rsidRPr="009E654B">
        <w:rPr>
          <w:rFonts w:ascii="Arial" w:hAnsi="Arial" w:cs="Arial"/>
          <w:lang w:val="en-GB"/>
        </w:rPr>
        <w:t>and</w:t>
      </w:r>
      <w:r w:rsidR="00555B30" w:rsidRPr="009E654B">
        <w:rPr>
          <w:rFonts w:ascii="Arial" w:hAnsi="Arial" w:cs="Arial"/>
          <w:lang w:val="en-GB"/>
        </w:rPr>
        <w:t xml:space="preserve"> Park Zgierz II (68</w:t>
      </w:r>
      <w:r w:rsidR="007F2461" w:rsidRPr="009E654B">
        <w:rPr>
          <w:rFonts w:ascii="Arial" w:hAnsi="Arial" w:cs="Arial"/>
          <w:lang w:val="en-GB"/>
        </w:rPr>
        <w:t>,000 sqm</w:t>
      </w:r>
      <w:r w:rsidR="00555B30" w:rsidRPr="009E654B">
        <w:rPr>
          <w:rFonts w:ascii="Arial" w:hAnsi="Arial" w:cs="Arial"/>
          <w:lang w:val="en-GB"/>
        </w:rPr>
        <w:t>)</w:t>
      </w:r>
      <w:r w:rsidR="00A60411" w:rsidRPr="009E654B">
        <w:rPr>
          <w:rFonts w:ascii="Arial" w:hAnsi="Arial" w:cs="Arial"/>
          <w:lang w:val="en-GB"/>
        </w:rPr>
        <w:t xml:space="preserve">, followed by </w:t>
      </w:r>
      <w:r w:rsidR="00555B30" w:rsidRPr="009E654B">
        <w:rPr>
          <w:rFonts w:ascii="Arial" w:hAnsi="Arial" w:cs="Arial"/>
          <w:lang w:val="en-GB"/>
        </w:rPr>
        <w:t>Prologis</w:t>
      </w:r>
      <w:r w:rsidR="00A60411" w:rsidRPr="009E654B">
        <w:rPr>
          <w:rFonts w:ascii="Arial" w:hAnsi="Arial" w:cs="Arial"/>
          <w:lang w:val="en-GB"/>
        </w:rPr>
        <w:t>’</w:t>
      </w:r>
      <w:r w:rsidR="00555B30" w:rsidRPr="009E654B">
        <w:rPr>
          <w:rFonts w:ascii="Arial" w:hAnsi="Arial" w:cs="Arial"/>
          <w:lang w:val="en-GB"/>
        </w:rPr>
        <w:t xml:space="preserve"> Park </w:t>
      </w:r>
      <w:proofErr w:type="spellStart"/>
      <w:r w:rsidR="00555B30" w:rsidRPr="009E654B">
        <w:rPr>
          <w:rFonts w:ascii="Arial" w:hAnsi="Arial" w:cs="Arial"/>
          <w:lang w:val="en-GB"/>
        </w:rPr>
        <w:t>Ujazd</w:t>
      </w:r>
      <w:proofErr w:type="spellEnd"/>
      <w:r w:rsidR="00555B30" w:rsidRPr="009E654B">
        <w:rPr>
          <w:rFonts w:ascii="Arial" w:hAnsi="Arial" w:cs="Arial"/>
          <w:lang w:val="en-GB"/>
        </w:rPr>
        <w:t xml:space="preserve"> </w:t>
      </w:r>
      <w:r w:rsidR="00A60411" w:rsidRPr="009E654B">
        <w:rPr>
          <w:rFonts w:ascii="Arial" w:hAnsi="Arial" w:cs="Arial"/>
          <w:lang w:val="en-GB"/>
        </w:rPr>
        <w:t xml:space="preserve">in Opole </w:t>
      </w:r>
      <w:r w:rsidR="00555B30" w:rsidRPr="009E654B">
        <w:rPr>
          <w:rFonts w:ascii="Arial" w:hAnsi="Arial" w:cs="Arial"/>
          <w:lang w:val="en-GB"/>
        </w:rPr>
        <w:t>(63</w:t>
      </w:r>
      <w:r w:rsidR="00A60411" w:rsidRPr="009E654B">
        <w:rPr>
          <w:rFonts w:ascii="Arial" w:hAnsi="Arial" w:cs="Arial"/>
          <w:lang w:val="en-GB"/>
        </w:rPr>
        <w:t>,000 sqm</w:t>
      </w:r>
      <w:r w:rsidR="00555B30" w:rsidRPr="009E654B">
        <w:rPr>
          <w:rFonts w:ascii="Arial" w:hAnsi="Arial" w:cs="Arial"/>
          <w:lang w:val="en-GB"/>
        </w:rPr>
        <w:t>)</w:t>
      </w:r>
      <w:r w:rsidR="00A60411" w:rsidRPr="009E654B">
        <w:rPr>
          <w:rFonts w:ascii="Arial" w:hAnsi="Arial" w:cs="Arial"/>
          <w:lang w:val="en-GB"/>
        </w:rPr>
        <w:t>.</w:t>
      </w:r>
      <w:r w:rsidR="00555B30" w:rsidRPr="009E654B">
        <w:rPr>
          <w:rFonts w:ascii="Arial" w:hAnsi="Arial" w:cs="Arial"/>
          <w:lang w:val="en-GB"/>
        </w:rPr>
        <w:t xml:space="preserve"> </w:t>
      </w:r>
    </w:p>
    <w:p w14:paraId="3E2DCEA6" w14:textId="320197C7" w:rsidR="009D5DA4" w:rsidRPr="009E654B" w:rsidRDefault="0042551C" w:rsidP="15B0461B">
      <w:pPr>
        <w:jc w:val="both"/>
        <w:rPr>
          <w:rFonts w:ascii="Arial" w:hAnsi="Arial" w:cs="Arial"/>
          <w:b/>
          <w:bCs/>
          <w:color w:val="00B050"/>
          <w:lang w:val="en-GB"/>
        </w:rPr>
      </w:pPr>
      <w:r w:rsidRPr="009E654B">
        <w:rPr>
          <w:rFonts w:ascii="Arial" w:hAnsi="Arial" w:cs="Arial"/>
          <w:b/>
          <w:bCs/>
          <w:color w:val="00B050"/>
          <w:lang w:val="en-GB"/>
        </w:rPr>
        <w:t>Developer caution</w:t>
      </w:r>
    </w:p>
    <w:p w14:paraId="7DC899C6" w14:textId="5293209B" w:rsidR="00FA23B0" w:rsidRPr="009E654B" w:rsidRDefault="0047564C" w:rsidP="00163A89">
      <w:pPr>
        <w:jc w:val="both"/>
        <w:rPr>
          <w:rFonts w:ascii="Arial" w:hAnsi="Arial" w:cs="Arial"/>
          <w:lang w:val="en-GB"/>
        </w:rPr>
      </w:pPr>
      <w:r w:rsidRPr="009E654B">
        <w:rPr>
          <w:rFonts w:ascii="Arial" w:hAnsi="Arial" w:cs="Arial"/>
          <w:lang w:val="en-GB"/>
        </w:rPr>
        <w:t xml:space="preserve">The </w:t>
      </w:r>
      <w:r w:rsidR="00A62BC0" w:rsidRPr="009E654B">
        <w:rPr>
          <w:rFonts w:ascii="Arial" w:hAnsi="Arial" w:cs="Arial"/>
          <w:lang w:val="en-GB"/>
        </w:rPr>
        <w:t xml:space="preserve">sector </w:t>
      </w:r>
      <w:r w:rsidR="00CB13B9" w:rsidRPr="009E654B">
        <w:rPr>
          <w:rFonts w:ascii="Arial" w:hAnsi="Arial" w:cs="Arial"/>
          <w:lang w:val="en-GB"/>
        </w:rPr>
        <w:t xml:space="preserve">continues to grow steadily, although </w:t>
      </w:r>
      <w:r w:rsidR="00A62BC0" w:rsidRPr="009E654B">
        <w:rPr>
          <w:rFonts w:ascii="Arial" w:hAnsi="Arial" w:cs="Arial"/>
          <w:lang w:val="en-GB"/>
        </w:rPr>
        <w:t>growth</w:t>
      </w:r>
      <w:r w:rsidR="009327DE" w:rsidRPr="009E654B">
        <w:rPr>
          <w:rFonts w:ascii="Arial" w:hAnsi="Arial" w:cs="Arial"/>
          <w:lang w:val="en-GB"/>
        </w:rPr>
        <w:t xml:space="preserve"> remained below 10%. The first </w:t>
      </w:r>
      <w:r w:rsidR="00E36922" w:rsidRPr="009E654B">
        <w:rPr>
          <w:rFonts w:ascii="Arial" w:hAnsi="Arial" w:cs="Arial"/>
          <w:lang w:val="en-GB"/>
        </w:rPr>
        <w:t>half</w:t>
      </w:r>
      <w:r w:rsidR="009327DE" w:rsidRPr="009E654B">
        <w:rPr>
          <w:rFonts w:ascii="Arial" w:hAnsi="Arial" w:cs="Arial"/>
          <w:lang w:val="en-GB"/>
        </w:rPr>
        <w:t xml:space="preserve"> of 2025</w:t>
      </w:r>
      <w:r w:rsidR="003A5CE5" w:rsidRPr="009E654B">
        <w:rPr>
          <w:rFonts w:ascii="Arial" w:hAnsi="Arial" w:cs="Arial"/>
          <w:lang w:val="en-GB"/>
        </w:rPr>
        <w:t xml:space="preserve"> saw 1.15 million sqm of new completions, marking a decrease of approximately 30% </w:t>
      </w:r>
      <w:r w:rsidR="00E36922" w:rsidRPr="009E654B">
        <w:rPr>
          <w:rFonts w:ascii="Arial" w:hAnsi="Arial" w:cs="Arial"/>
          <w:lang w:val="en-GB"/>
        </w:rPr>
        <w:t xml:space="preserve">compared with </w:t>
      </w:r>
      <w:r w:rsidR="003A5CE5" w:rsidRPr="009E654B">
        <w:rPr>
          <w:rFonts w:ascii="Arial" w:hAnsi="Arial" w:cs="Arial"/>
          <w:lang w:val="en-GB"/>
        </w:rPr>
        <w:t xml:space="preserve">the same period last year. </w:t>
      </w:r>
      <w:r w:rsidR="005A4C12" w:rsidRPr="009E654B">
        <w:rPr>
          <w:rFonts w:ascii="Arial" w:hAnsi="Arial" w:cs="Arial"/>
          <w:lang w:val="en-GB"/>
        </w:rPr>
        <w:t>In the second quarter, 468,000 sqm was added to the country’s total stock</w:t>
      </w:r>
      <w:r w:rsidR="00503F8C" w:rsidRPr="009E654B">
        <w:rPr>
          <w:rFonts w:ascii="Arial" w:hAnsi="Arial" w:cs="Arial"/>
          <w:lang w:val="en-GB"/>
        </w:rPr>
        <w:t>, down by 31% from the previous quarter</w:t>
      </w:r>
      <w:r w:rsidR="00FA23B0" w:rsidRPr="009E654B">
        <w:rPr>
          <w:rFonts w:ascii="Arial" w:hAnsi="Arial" w:cs="Arial"/>
          <w:lang w:val="en-GB"/>
        </w:rPr>
        <w:t xml:space="preserve">. </w:t>
      </w:r>
    </w:p>
    <w:p w14:paraId="1D1BB22D" w14:textId="454E17AA" w:rsidR="00555B30" w:rsidRPr="009E654B" w:rsidRDefault="00864173" w:rsidP="00E04772">
      <w:pPr>
        <w:jc w:val="both"/>
        <w:rPr>
          <w:rFonts w:ascii="Arial" w:hAnsi="Arial" w:cs="Arial"/>
          <w:b/>
          <w:bCs/>
          <w:color w:val="00B050"/>
          <w:lang w:val="en-GB"/>
        </w:rPr>
      </w:pPr>
      <w:r w:rsidRPr="009E654B">
        <w:rPr>
          <w:rFonts w:ascii="Arial" w:hAnsi="Arial" w:cs="Arial"/>
          <w:b/>
          <w:bCs/>
          <w:color w:val="00B050"/>
          <w:lang w:val="en-GB"/>
        </w:rPr>
        <w:t>No break for t</w:t>
      </w:r>
      <w:r w:rsidR="00002D3C" w:rsidRPr="009E654B">
        <w:rPr>
          <w:rFonts w:ascii="Arial" w:hAnsi="Arial" w:cs="Arial"/>
          <w:b/>
          <w:bCs/>
          <w:color w:val="00B050"/>
          <w:lang w:val="en-GB"/>
        </w:rPr>
        <w:t>enants</w:t>
      </w:r>
    </w:p>
    <w:p w14:paraId="38B477D8" w14:textId="0E3DD3B5" w:rsidR="002F419D" w:rsidRPr="009E654B" w:rsidRDefault="00A70839" w:rsidP="00CC42F1">
      <w:pPr>
        <w:jc w:val="both"/>
        <w:rPr>
          <w:rFonts w:ascii="Arial" w:hAnsi="Arial" w:cs="Arial"/>
          <w:lang w:val="en-GB"/>
        </w:rPr>
      </w:pPr>
      <w:r w:rsidRPr="009E654B">
        <w:rPr>
          <w:rFonts w:ascii="Arial" w:hAnsi="Arial" w:cs="Arial"/>
          <w:lang w:val="en-GB"/>
        </w:rPr>
        <w:t>Despite a decline in new industrial and logistics completions, tenants continu</w:t>
      </w:r>
      <w:r w:rsidR="006A5C06" w:rsidRPr="009E654B">
        <w:rPr>
          <w:rFonts w:ascii="Arial" w:hAnsi="Arial" w:cs="Arial"/>
          <w:lang w:val="en-GB"/>
        </w:rPr>
        <w:t xml:space="preserve">e to actively </w:t>
      </w:r>
      <w:r w:rsidR="00EB585A" w:rsidRPr="009E654B">
        <w:rPr>
          <w:rFonts w:ascii="Arial" w:hAnsi="Arial" w:cs="Arial"/>
          <w:lang w:val="en-GB"/>
        </w:rPr>
        <w:t>seek</w:t>
      </w:r>
      <w:r w:rsidR="006A5C06" w:rsidRPr="009E654B">
        <w:rPr>
          <w:rFonts w:ascii="Arial" w:hAnsi="Arial" w:cs="Arial"/>
          <w:lang w:val="en-GB"/>
        </w:rPr>
        <w:t xml:space="preserve"> modern facilities</w:t>
      </w:r>
      <w:r w:rsidR="002F5C15" w:rsidRPr="009E654B">
        <w:rPr>
          <w:rFonts w:ascii="Arial" w:hAnsi="Arial" w:cs="Arial"/>
          <w:lang w:val="en-GB"/>
        </w:rPr>
        <w:t>.</w:t>
      </w:r>
      <w:r w:rsidR="00555B30" w:rsidRPr="009E654B">
        <w:rPr>
          <w:rFonts w:ascii="Arial" w:hAnsi="Arial" w:cs="Arial"/>
          <w:lang w:val="en-GB"/>
        </w:rPr>
        <w:t xml:space="preserve"> </w:t>
      </w:r>
      <w:r w:rsidR="002F419D" w:rsidRPr="009E654B">
        <w:rPr>
          <w:rFonts w:ascii="Arial" w:hAnsi="Arial" w:cs="Arial"/>
          <w:lang w:val="en-GB"/>
        </w:rPr>
        <w:t xml:space="preserve"> </w:t>
      </w:r>
    </w:p>
    <w:p w14:paraId="75C5920E" w14:textId="4538D077" w:rsidR="00CC42F1" w:rsidRPr="009E654B" w:rsidRDefault="005E7365" w:rsidP="00CC42F1">
      <w:pPr>
        <w:jc w:val="both"/>
        <w:rPr>
          <w:rFonts w:ascii="Arial" w:hAnsi="Arial" w:cs="Arial"/>
          <w:lang w:val="en-GB"/>
        </w:rPr>
      </w:pPr>
      <w:r w:rsidRPr="009E654B">
        <w:rPr>
          <w:rFonts w:ascii="Arial" w:hAnsi="Arial" w:cs="Arial"/>
          <w:i/>
          <w:iCs/>
          <w:lang w:val="en-GB"/>
        </w:rPr>
        <w:t>“</w:t>
      </w:r>
      <w:r w:rsidR="006A5C06" w:rsidRPr="009E654B">
        <w:rPr>
          <w:rFonts w:ascii="Arial" w:hAnsi="Arial" w:cs="Arial"/>
          <w:i/>
          <w:iCs/>
          <w:lang w:val="en-GB"/>
        </w:rPr>
        <w:t>Total gross industrial and logistics take-up</w:t>
      </w:r>
      <w:r w:rsidR="00CD5AE3" w:rsidRPr="009E654B">
        <w:rPr>
          <w:rFonts w:ascii="Arial" w:hAnsi="Arial" w:cs="Arial"/>
          <w:i/>
          <w:iCs/>
          <w:lang w:val="en-GB"/>
        </w:rPr>
        <w:t xml:space="preserve"> exceeded 1.84 million sqm in the second quarter of 2025, </w:t>
      </w:r>
      <w:r w:rsidR="00EB585A" w:rsidRPr="009E654B">
        <w:rPr>
          <w:rFonts w:ascii="Arial" w:hAnsi="Arial" w:cs="Arial"/>
          <w:i/>
          <w:iCs/>
          <w:lang w:val="en-GB"/>
        </w:rPr>
        <w:t xml:space="preserve">representing </w:t>
      </w:r>
      <w:r w:rsidR="00CD5AE3" w:rsidRPr="009E654B">
        <w:rPr>
          <w:rFonts w:ascii="Arial" w:hAnsi="Arial" w:cs="Arial"/>
          <w:i/>
          <w:iCs/>
          <w:lang w:val="en-GB"/>
        </w:rPr>
        <w:t xml:space="preserve">an increase of over 66% quarter-on-quarter and </w:t>
      </w:r>
      <w:r w:rsidRPr="009E654B">
        <w:rPr>
          <w:rFonts w:ascii="Arial" w:hAnsi="Arial" w:cs="Arial"/>
          <w:i/>
          <w:iCs/>
          <w:lang w:val="en-GB"/>
        </w:rPr>
        <w:t xml:space="preserve">7% year-on-year. </w:t>
      </w:r>
      <w:r w:rsidR="00EB585A" w:rsidRPr="009E654B">
        <w:rPr>
          <w:rFonts w:ascii="Arial" w:hAnsi="Arial" w:cs="Arial"/>
          <w:i/>
          <w:iCs/>
          <w:lang w:val="en-GB"/>
        </w:rPr>
        <w:t xml:space="preserve">This </w:t>
      </w:r>
      <w:r w:rsidRPr="009E654B">
        <w:rPr>
          <w:rFonts w:ascii="Arial" w:hAnsi="Arial" w:cs="Arial"/>
          <w:i/>
          <w:iCs/>
          <w:lang w:val="en-GB"/>
        </w:rPr>
        <w:lastRenderedPageBreak/>
        <w:t>also marked the fifth</w:t>
      </w:r>
      <w:r w:rsidR="00F022EC">
        <w:rPr>
          <w:rFonts w:ascii="Arial" w:hAnsi="Arial" w:cs="Arial"/>
          <w:i/>
          <w:iCs/>
          <w:lang w:val="en-GB"/>
        </w:rPr>
        <w:t xml:space="preserve">-highest </w:t>
      </w:r>
      <w:r w:rsidRPr="009E654B">
        <w:rPr>
          <w:rFonts w:ascii="Arial" w:hAnsi="Arial" w:cs="Arial"/>
          <w:i/>
          <w:iCs/>
          <w:lang w:val="en-GB"/>
        </w:rPr>
        <w:t xml:space="preserve">quarterly </w:t>
      </w:r>
      <w:r w:rsidR="00F022EC">
        <w:rPr>
          <w:rFonts w:ascii="Arial" w:hAnsi="Arial" w:cs="Arial"/>
          <w:i/>
          <w:iCs/>
          <w:lang w:val="en-GB"/>
        </w:rPr>
        <w:t xml:space="preserve">level of </w:t>
      </w:r>
      <w:r w:rsidRPr="009E654B">
        <w:rPr>
          <w:rFonts w:ascii="Arial" w:hAnsi="Arial" w:cs="Arial"/>
          <w:i/>
          <w:iCs/>
          <w:lang w:val="en-GB"/>
        </w:rPr>
        <w:t>leasing activity</w:t>
      </w:r>
      <w:r w:rsidR="003E2A45" w:rsidRPr="009E654B">
        <w:rPr>
          <w:rFonts w:ascii="Arial" w:hAnsi="Arial" w:cs="Arial"/>
          <w:i/>
          <w:iCs/>
          <w:lang w:val="en-GB"/>
        </w:rPr>
        <w:t xml:space="preserve"> recorded in Poland’s warehouse market since records began</w:t>
      </w:r>
      <w:r w:rsidR="00CB0D38" w:rsidRPr="009E654B">
        <w:rPr>
          <w:rFonts w:ascii="Arial" w:hAnsi="Arial" w:cs="Arial"/>
          <w:i/>
          <w:iCs/>
          <w:lang w:val="en-GB"/>
        </w:rPr>
        <w:t>,”</w:t>
      </w:r>
      <w:r w:rsidR="001D4323" w:rsidRPr="009E654B">
        <w:rPr>
          <w:rFonts w:ascii="Arial" w:hAnsi="Arial" w:cs="Arial"/>
          <w:lang w:val="en-GB"/>
        </w:rPr>
        <w:t xml:space="preserve"> </w:t>
      </w:r>
      <w:r w:rsidR="00CB0D38" w:rsidRPr="009E654B">
        <w:rPr>
          <w:rFonts w:ascii="Arial" w:hAnsi="Arial" w:cs="Arial"/>
          <w:lang w:val="en-GB"/>
        </w:rPr>
        <w:t>says</w:t>
      </w:r>
      <w:r w:rsidR="00CC42F1" w:rsidRPr="009E654B">
        <w:rPr>
          <w:rFonts w:ascii="Arial" w:hAnsi="Arial" w:cs="Arial"/>
          <w:lang w:val="en-GB"/>
        </w:rPr>
        <w:t xml:space="preserve"> </w:t>
      </w:r>
      <w:r w:rsidR="00CC42F1" w:rsidRPr="009E654B">
        <w:rPr>
          <w:rFonts w:ascii="Arial" w:hAnsi="Arial" w:cs="Arial"/>
          <w:b/>
          <w:bCs/>
          <w:lang w:val="en-GB"/>
        </w:rPr>
        <w:t>Ludwika Korzeniowsk</w:t>
      </w:r>
      <w:r w:rsidR="000B32C2" w:rsidRPr="009E654B">
        <w:rPr>
          <w:rFonts w:ascii="Arial" w:hAnsi="Arial" w:cs="Arial"/>
          <w:b/>
          <w:bCs/>
          <w:lang w:val="en-GB"/>
        </w:rPr>
        <w:t>a, Head of Industrial and Logistics</w:t>
      </w:r>
      <w:r w:rsidR="00CC42F1" w:rsidRPr="009E654B">
        <w:rPr>
          <w:rFonts w:ascii="Arial" w:hAnsi="Arial" w:cs="Arial"/>
          <w:b/>
          <w:bCs/>
          <w:lang w:val="en-GB"/>
        </w:rPr>
        <w:t>, BNP Paribas Real Estate Poland.</w:t>
      </w:r>
    </w:p>
    <w:p w14:paraId="0458E954" w14:textId="2FA244B1" w:rsidR="00555B30" w:rsidRPr="009E654B" w:rsidRDefault="009254A1" w:rsidP="00555B30">
      <w:pPr>
        <w:jc w:val="both"/>
        <w:rPr>
          <w:rFonts w:ascii="Arial" w:hAnsi="Arial" w:cs="Arial"/>
          <w:lang w:val="en-GB"/>
        </w:rPr>
      </w:pPr>
      <w:r w:rsidRPr="009E654B">
        <w:rPr>
          <w:rFonts w:ascii="Arial" w:hAnsi="Arial" w:cs="Arial"/>
          <w:lang w:val="en-GB"/>
        </w:rPr>
        <w:t xml:space="preserve">Gross transaction volume by </w:t>
      </w:r>
      <w:r w:rsidR="00F022EC">
        <w:rPr>
          <w:rFonts w:ascii="Arial" w:hAnsi="Arial" w:cs="Arial"/>
          <w:lang w:val="en-GB"/>
        </w:rPr>
        <w:t>zone</w:t>
      </w:r>
      <w:r w:rsidR="00491EE2" w:rsidRPr="009E654B">
        <w:rPr>
          <w:rFonts w:ascii="Arial" w:hAnsi="Arial" w:cs="Arial"/>
          <w:lang w:val="en-GB"/>
        </w:rPr>
        <w:t xml:space="preserve"> shows that Lower Silesia and Upper Silesia</w:t>
      </w:r>
      <w:r w:rsidR="005E2B09" w:rsidRPr="009E654B">
        <w:rPr>
          <w:rFonts w:ascii="Arial" w:hAnsi="Arial" w:cs="Arial"/>
          <w:lang w:val="en-GB"/>
        </w:rPr>
        <w:t xml:space="preserve"> accounted for the largest share</w:t>
      </w:r>
      <w:r w:rsidR="00F022EC">
        <w:rPr>
          <w:rFonts w:ascii="Arial" w:hAnsi="Arial" w:cs="Arial"/>
          <w:lang w:val="en-GB"/>
        </w:rPr>
        <w:t>s,</w:t>
      </w:r>
      <w:r w:rsidR="005E2B09" w:rsidRPr="009E654B">
        <w:rPr>
          <w:rFonts w:ascii="Arial" w:hAnsi="Arial" w:cs="Arial"/>
          <w:lang w:val="en-GB"/>
        </w:rPr>
        <w:t xml:space="preserve"> at 17% each</w:t>
      </w:r>
      <w:r w:rsidR="00CB6F82" w:rsidRPr="009E654B">
        <w:rPr>
          <w:rFonts w:ascii="Arial" w:hAnsi="Arial" w:cs="Arial"/>
          <w:lang w:val="en-GB"/>
        </w:rPr>
        <w:t>,</w:t>
      </w:r>
      <w:r w:rsidR="005E2B09" w:rsidRPr="009E654B">
        <w:rPr>
          <w:rFonts w:ascii="Arial" w:hAnsi="Arial" w:cs="Arial"/>
          <w:lang w:val="en-GB"/>
        </w:rPr>
        <w:t xml:space="preserve"> followed by Warsaw II with 13%. </w:t>
      </w:r>
      <w:r w:rsidR="00BD62D9" w:rsidRPr="009E654B">
        <w:rPr>
          <w:rFonts w:ascii="Arial" w:hAnsi="Arial" w:cs="Arial"/>
          <w:lang w:val="en-GB"/>
        </w:rPr>
        <w:t xml:space="preserve">These data indicate that the Silesian regions remain </w:t>
      </w:r>
      <w:r w:rsidR="00CB6F82" w:rsidRPr="009E654B">
        <w:rPr>
          <w:rFonts w:ascii="Arial" w:hAnsi="Arial" w:cs="Arial"/>
          <w:lang w:val="en-GB"/>
        </w:rPr>
        <w:t>key</w:t>
      </w:r>
      <w:r w:rsidR="00EB585A" w:rsidRPr="009E654B">
        <w:rPr>
          <w:rFonts w:ascii="Arial" w:hAnsi="Arial" w:cs="Arial"/>
          <w:lang w:val="en-GB"/>
        </w:rPr>
        <w:t xml:space="preserve"> locations for the industrial and logistics market.</w:t>
      </w:r>
    </w:p>
    <w:p w14:paraId="3B942538" w14:textId="1FCDBB57" w:rsidR="005C4F71" w:rsidRPr="009E654B" w:rsidRDefault="00DF331E" w:rsidP="00555B30">
      <w:pPr>
        <w:jc w:val="both"/>
        <w:rPr>
          <w:rFonts w:ascii="Arial" w:hAnsi="Arial" w:cs="Arial"/>
          <w:b/>
          <w:bCs/>
          <w:color w:val="00B050"/>
          <w:lang w:val="en-GB"/>
        </w:rPr>
      </w:pPr>
      <w:r w:rsidRPr="009E654B">
        <w:rPr>
          <w:rFonts w:ascii="Arial" w:hAnsi="Arial" w:cs="Arial"/>
          <w:b/>
          <w:bCs/>
          <w:color w:val="00B050"/>
          <w:lang w:val="en-GB"/>
        </w:rPr>
        <w:t>Take-up structure and major leases</w:t>
      </w:r>
    </w:p>
    <w:p w14:paraId="46EEFE7C" w14:textId="3BD761CF" w:rsidR="005C4F71" w:rsidRPr="009E654B" w:rsidRDefault="00970FA0" w:rsidP="001C6B0F">
      <w:pPr>
        <w:jc w:val="both"/>
        <w:rPr>
          <w:rFonts w:ascii="Arial" w:hAnsi="Arial" w:cs="Arial"/>
          <w:lang w:val="en-GB"/>
        </w:rPr>
      </w:pPr>
      <w:r w:rsidRPr="009E654B">
        <w:rPr>
          <w:rFonts w:ascii="Arial" w:hAnsi="Arial" w:cs="Arial"/>
          <w:lang w:val="en-GB"/>
        </w:rPr>
        <w:t>G</w:t>
      </w:r>
      <w:r w:rsidR="00CB3450" w:rsidRPr="009E654B">
        <w:rPr>
          <w:rFonts w:ascii="Arial" w:hAnsi="Arial" w:cs="Arial"/>
          <w:lang w:val="en-GB"/>
        </w:rPr>
        <w:t xml:space="preserve">ross take-up </w:t>
      </w:r>
      <w:r w:rsidRPr="009E654B">
        <w:rPr>
          <w:rFonts w:ascii="Arial" w:hAnsi="Arial" w:cs="Arial"/>
          <w:lang w:val="en-GB"/>
        </w:rPr>
        <w:t xml:space="preserve">in Q2 </w:t>
      </w:r>
      <w:r w:rsidR="00CB3450" w:rsidRPr="009E654B">
        <w:rPr>
          <w:rFonts w:ascii="Arial" w:hAnsi="Arial" w:cs="Arial"/>
          <w:lang w:val="en-GB"/>
        </w:rPr>
        <w:t xml:space="preserve">was dominated by lease renewals, </w:t>
      </w:r>
      <w:r w:rsidRPr="009E654B">
        <w:rPr>
          <w:rFonts w:ascii="Arial" w:hAnsi="Arial" w:cs="Arial"/>
          <w:lang w:val="en-GB"/>
        </w:rPr>
        <w:t xml:space="preserve">which accounted </w:t>
      </w:r>
      <w:r w:rsidR="00456D6B" w:rsidRPr="009E654B">
        <w:rPr>
          <w:rFonts w:ascii="Arial" w:hAnsi="Arial" w:cs="Arial"/>
          <w:lang w:val="en-GB"/>
        </w:rPr>
        <w:t xml:space="preserve">for </w:t>
      </w:r>
      <w:r w:rsidR="00CB3450" w:rsidRPr="009E654B">
        <w:rPr>
          <w:rFonts w:ascii="Arial" w:hAnsi="Arial" w:cs="Arial"/>
          <w:lang w:val="en-GB"/>
        </w:rPr>
        <w:t xml:space="preserve">54% of the total. </w:t>
      </w:r>
      <w:r w:rsidR="00703E9E" w:rsidRPr="009E654B">
        <w:rPr>
          <w:rFonts w:ascii="Arial" w:hAnsi="Arial" w:cs="Arial"/>
          <w:lang w:val="en-GB"/>
        </w:rPr>
        <w:t>According to</w:t>
      </w:r>
      <w:r w:rsidR="005C4F71" w:rsidRPr="009E654B">
        <w:rPr>
          <w:rFonts w:ascii="Arial" w:hAnsi="Arial" w:cs="Arial"/>
          <w:lang w:val="en-GB"/>
        </w:rPr>
        <w:t xml:space="preserve"> BNP Paribas Real Estate Poland</w:t>
      </w:r>
      <w:r w:rsidR="00703E9E" w:rsidRPr="009E654B">
        <w:rPr>
          <w:rFonts w:ascii="Arial" w:hAnsi="Arial" w:cs="Arial"/>
          <w:lang w:val="en-GB"/>
        </w:rPr>
        <w:t>, this was</w:t>
      </w:r>
      <w:r w:rsidR="001C559A" w:rsidRPr="009E654B">
        <w:rPr>
          <w:rFonts w:ascii="Arial" w:hAnsi="Arial" w:cs="Arial"/>
          <w:lang w:val="en-GB"/>
        </w:rPr>
        <w:t xml:space="preserve"> driven by the expir</w:t>
      </w:r>
      <w:r w:rsidR="00456D6B" w:rsidRPr="009E654B">
        <w:rPr>
          <w:rFonts w:ascii="Arial" w:hAnsi="Arial" w:cs="Arial"/>
          <w:lang w:val="en-GB"/>
        </w:rPr>
        <w:t>y</w:t>
      </w:r>
      <w:r w:rsidR="001C559A" w:rsidRPr="009E654B">
        <w:rPr>
          <w:rFonts w:ascii="Arial" w:hAnsi="Arial" w:cs="Arial"/>
          <w:lang w:val="en-GB"/>
        </w:rPr>
        <w:t xml:space="preserve"> of </w:t>
      </w:r>
      <w:r w:rsidR="00E557E9" w:rsidRPr="009E654B">
        <w:rPr>
          <w:rFonts w:ascii="Arial" w:hAnsi="Arial" w:cs="Arial"/>
          <w:lang w:val="en-GB"/>
        </w:rPr>
        <w:t xml:space="preserve">contracts signed </w:t>
      </w:r>
      <w:r w:rsidR="00D10EA2" w:rsidRPr="009E654B">
        <w:rPr>
          <w:rFonts w:ascii="Arial" w:hAnsi="Arial" w:cs="Arial"/>
          <w:lang w:val="en-GB"/>
        </w:rPr>
        <w:t xml:space="preserve">during </w:t>
      </w:r>
      <w:r w:rsidR="00E557E9" w:rsidRPr="009E654B">
        <w:rPr>
          <w:rFonts w:ascii="Arial" w:hAnsi="Arial" w:cs="Arial"/>
          <w:lang w:val="en-GB"/>
        </w:rPr>
        <w:t xml:space="preserve">the </w:t>
      </w:r>
      <w:r w:rsidR="00232559" w:rsidRPr="009E654B">
        <w:rPr>
          <w:rFonts w:ascii="Arial" w:hAnsi="Arial" w:cs="Arial"/>
          <w:lang w:val="en-GB"/>
        </w:rPr>
        <w:t xml:space="preserve">boom years for demand in </w:t>
      </w:r>
      <w:r w:rsidR="005C4F71" w:rsidRPr="009E654B">
        <w:rPr>
          <w:rFonts w:ascii="Arial" w:hAnsi="Arial" w:cs="Arial"/>
          <w:lang w:val="en-GB"/>
        </w:rPr>
        <w:t xml:space="preserve">2020–2021. </w:t>
      </w:r>
      <w:r w:rsidR="00F432BA" w:rsidRPr="009E654B">
        <w:rPr>
          <w:rFonts w:ascii="Arial" w:hAnsi="Arial" w:cs="Arial"/>
          <w:lang w:val="en-GB"/>
        </w:rPr>
        <w:t xml:space="preserve">Faced with geopolitical and economic instability, tenants are </w:t>
      </w:r>
      <w:r w:rsidR="001A58BB">
        <w:rPr>
          <w:rFonts w:ascii="Arial" w:hAnsi="Arial" w:cs="Arial"/>
          <w:lang w:val="en-GB"/>
        </w:rPr>
        <w:t xml:space="preserve">increasingly </w:t>
      </w:r>
      <w:r w:rsidR="00D10EA2" w:rsidRPr="009E654B">
        <w:rPr>
          <w:rFonts w:ascii="Arial" w:hAnsi="Arial" w:cs="Arial"/>
          <w:lang w:val="en-GB"/>
        </w:rPr>
        <w:t xml:space="preserve">exercising </w:t>
      </w:r>
      <w:r w:rsidR="00715D58" w:rsidRPr="009E654B">
        <w:rPr>
          <w:rFonts w:ascii="Arial" w:hAnsi="Arial" w:cs="Arial"/>
          <w:lang w:val="en-GB"/>
        </w:rPr>
        <w:t xml:space="preserve">caution </w:t>
      </w:r>
      <w:r w:rsidR="00D10EA2" w:rsidRPr="009E654B">
        <w:rPr>
          <w:rFonts w:ascii="Arial" w:hAnsi="Arial" w:cs="Arial"/>
          <w:lang w:val="en-GB"/>
        </w:rPr>
        <w:t>regarding</w:t>
      </w:r>
      <w:r w:rsidR="00715D58" w:rsidRPr="009E654B">
        <w:rPr>
          <w:rFonts w:ascii="Arial" w:hAnsi="Arial" w:cs="Arial"/>
          <w:lang w:val="en-GB"/>
        </w:rPr>
        <w:t xml:space="preserve"> relocations or expansions, </w:t>
      </w:r>
      <w:r w:rsidR="00D10EA2" w:rsidRPr="009E654B">
        <w:rPr>
          <w:rFonts w:ascii="Arial" w:hAnsi="Arial" w:cs="Arial"/>
          <w:lang w:val="en-GB"/>
        </w:rPr>
        <w:t>viewing</w:t>
      </w:r>
      <w:r w:rsidR="00715D58" w:rsidRPr="009E654B">
        <w:rPr>
          <w:rFonts w:ascii="Arial" w:hAnsi="Arial" w:cs="Arial"/>
          <w:lang w:val="en-GB"/>
        </w:rPr>
        <w:t xml:space="preserve"> lease exten</w:t>
      </w:r>
      <w:r w:rsidR="005954D2" w:rsidRPr="009E654B">
        <w:rPr>
          <w:rFonts w:ascii="Arial" w:hAnsi="Arial" w:cs="Arial"/>
          <w:lang w:val="en-GB"/>
        </w:rPr>
        <w:t xml:space="preserve">sions as the optimal </w:t>
      </w:r>
      <w:r w:rsidR="001C6B0F" w:rsidRPr="009E654B">
        <w:rPr>
          <w:rFonts w:ascii="Arial" w:hAnsi="Arial" w:cs="Arial"/>
          <w:lang w:val="en-GB"/>
        </w:rPr>
        <w:t xml:space="preserve">and safest </w:t>
      </w:r>
      <w:r w:rsidR="005954D2" w:rsidRPr="009E654B">
        <w:rPr>
          <w:rFonts w:ascii="Arial" w:hAnsi="Arial" w:cs="Arial"/>
          <w:lang w:val="en-GB"/>
        </w:rPr>
        <w:t>solution. Expansions made up 5% of total take-up.</w:t>
      </w:r>
    </w:p>
    <w:p w14:paraId="0A94A3D8" w14:textId="2FBAB9E3" w:rsidR="005C4F71" w:rsidRPr="009E654B" w:rsidRDefault="00D63DD6" w:rsidP="005C4F71">
      <w:pPr>
        <w:jc w:val="both"/>
        <w:rPr>
          <w:rFonts w:ascii="Arial" w:hAnsi="Arial" w:cs="Arial"/>
          <w:lang w:val="en-GB"/>
        </w:rPr>
      </w:pPr>
      <w:r w:rsidRPr="009E654B">
        <w:rPr>
          <w:rFonts w:ascii="Arial" w:hAnsi="Arial" w:cs="Arial"/>
          <w:lang w:val="en-GB"/>
        </w:rPr>
        <w:t>Notably, s</w:t>
      </w:r>
      <w:r w:rsidR="00B14FDD" w:rsidRPr="009E654B">
        <w:rPr>
          <w:rFonts w:ascii="Arial" w:hAnsi="Arial" w:cs="Arial"/>
          <w:lang w:val="en-GB"/>
        </w:rPr>
        <w:t xml:space="preserve">ale-and-leaseback transactions are gaining momentum across the </w:t>
      </w:r>
      <w:r w:rsidR="00D47A6C" w:rsidRPr="009E654B">
        <w:rPr>
          <w:rFonts w:ascii="Arial" w:hAnsi="Arial" w:cs="Arial"/>
          <w:lang w:val="en-GB"/>
        </w:rPr>
        <w:t xml:space="preserve">Polish industrial and logistics </w:t>
      </w:r>
      <w:r w:rsidR="00B14FDD" w:rsidRPr="009E654B">
        <w:rPr>
          <w:rFonts w:ascii="Arial" w:hAnsi="Arial" w:cs="Arial"/>
          <w:lang w:val="en-GB"/>
        </w:rPr>
        <w:t>market</w:t>
      </w:r>
      <w:r w:rsidR="00D47A6C" w:rsidRPr="009E654B">
        <w:rPr>
          <w:rFonts w:ascii="Arial" w:hAnsi="Arial" w:cs="Arial"/>
          <w:lang w:val="en-GB"/>
        </w:rPr>
        <w:t xml:space="preserve">. The </w:t>
      </w:r>
      <w:r w:rsidR="00FA020F" w:rsidRPr="009E654B">
        <w:rPr>
          <w:rFonts w:ascii="Arial" w:hAnsi="Arial" w:cs="Arial"/>
          <w:lang w:val="en-GB"/>
        </w:rPr>
        <w:t xml:space="preserve">two largest transactions </w:t>
      </w:r>
      <w:r w:rsidR="00B13ABE" w:rsidRPr="009E654B">
        <w:rPr>
          <w:rFonts w:ascii="Arial" w:hAnsi="Arial" w:cs="Arial"/>
          <w:lang w:val="en-GB"/>
        </w:rPr>
        <w:t>in</w:t>
      </w:r>
      <w:r w:rsidR="00FA020F" w:rsidRPr="009E654B">
        <w:rPr>
          <w:rFonts w:ascii="Arial" w:hAnsi="Arial" w:cs="Arial"/>
          <w:lang w:val="en-GB"/>
        </w:rPr>
        <w:t xml:space="preserve"> the </w:t>
      </w:r>
      <w:r w:rsidR="00D47A6C" w:rsidRPr="009E654B">
        <w:rPr>
          <w:rFonts w:ascii="Arial" w:hAnsi="Arial" w:cs="Arial"/>
          <w:lang w:val="en-GB"/>
        </w:rPr>
        <w:t xml:space="preserve">second quarter </w:t>
      </w:r>
      <w:r w:rsidR="00FA020F" w:rsidRPr="009E654B">
        <w:rPr>
          <w:rFonts w:ascii="Arial" w:hAnsi="Arial" w:cs="Arial"/>
          <w:lang w:val="en-GB"/>
        </w:rPr>
        <w:t>were</w:t>
      </w:r>
      <w:r w:rsidR="00D47A6C" w:rsidRPr="009E654B">
        <w:rPr>
          <w:rFonts w:ascii="Arial" w:hAnsi="Arial" w:cs="Arial"/>
          <w:lang w:val="en-GB"/>
        </w:rPr>
        <w:t xml:space="preserve"> such deals</w:t>
      </w:r>
      <w:r w:rsidR="005642C8" w:rsidRPr="009E654B">
        <w:rPr>
          <w:rFonts w:ascii="Arial" w:hAnsi="Arial" w:cs="Arial"/>
          <w:lang w:val="en-GB"/>
        </w:rPr>
        <w:t>, involving</w:t>
      </w:r>
      <w:r w:rsidR="00FA7D65" w:rsidRPr="009E654B">
        <w:rPr>
          <w:rFonts w:ascii="Arial" w:hAnsi="Arial" w:cs="Arial"/>
          <w:lang w:val="en-GB"/>
        </w:rPr>
        <w:t xml:space="preserve"> </w:t>
      </w:r>
      <w:r w:rsidR="000449F2" w:rsidRPr="009E654B">
        <w:rPr>
          <w:rFonts w:ascii="Arial" w:hAnsi="Arial" w:cs="Arial"/>
          <w:lang w:val="en-GB"/>
        </w:rPr>
        <w:t>two production facilities leased by Eko-</w:t>
      </w:r>
      <w:proofErr w:type="spellStart"/>
      <w:r w:rsidR="000449F2" w:rsidRPr="009E654B">
        <w:rPr>
          <w:rFonts w:ascii="Arial" w:hAnsi="Arial" w:cs="Arial"/>
          <w:lang w:val="en-GB"/>
        </w:rPr>
        <w:t>Okna</w:t>
      </w:r>
      <w:proofErr w:type="spellEnd"/>
      <w:r w:rsidR="000449F2" w:rsidRPr="009E654B">
        <w:rPr>
          <w:rFonts w:ascii="Arial" w:hAnsi="Arial" w:cs="Arial"/>
          <w:lang w:val="en-GB"/>
        </w:rPr>
        <w:t>: in</w:t>
      </w:r>
      <w:r w:rsidR="005C4F71" w:rsidRPr="009E654B">
        <w:rPr>
          <w:rFonts w:ascii="Arial" w:hAnsi="Arial" w:cs="Arial"/>
          <w:lang w:val="en-GB"/>
        </w:rPr>
        <w:t xml:space="preserve"> Wodzisław Śląski (131</w:t>
      </w:r>
      <w:r w:rsidR="000449F2" w:rsidRPr="009E654B">
        <w:rPr>
          <w:rFonts w:ascii="Arial" w:hAnsi="Arial" w:cs="Arial"/>
          <w:lang w:val="en-GB"/>
        </w:rPr>
        <w:t>,000 sqm) and</w:t>
      </w:r>
      <w:r w:rsidR="005C4F71" w:rsidRPr="009E654B">
        <w:rPr>
          <w:rFonts w:ascii="Arial" w:hAnsi="Arial" w:cs="Arial"/>
          <w:lang w:val="en-GB"/>
        </w:rPr>
        <w:t xml:space="preserve"> </w:t>
      </w:r>
      <w:proofErr w:type="spellStart"/>
      <w:r w:rsidR="005C4F71" w:rsidRPr="009E654B">
        <w:rPr>
          <w:rFonts w:ascii="Arial" w:hAnsi="Arial" w:cs="Arial"/>
          <w:lang w:val="en-GB"/>
        </w:rPr>
        <w:t>Kędzierzyn-Koźl</w:t>
      </w:r>
      <w:r w:rsidR="00991AB1" w:rsidRPr="009E654B">
        <w:rPr>
          <w:rFonts w:ascii="Arial" w:hAnsi="Arial" w:cs="Arial"/>
          <w:lang w:val="en-GB"/>
        </w:rPr>
        <w:t>e</w:t>
      </w:r>
      <w:proofErr w:type="spellEnd"/>
      <w:r w:rsidR="005C4F71" w:rsidRPr="009E654B">
        <w:rPr>
          <w:rFonts w:ascii="Arial" w:hAnsi="Arial" w:cs="Arial"/>
          <w:lang w:val="en-GB"/>
        </w:rPr>
        <w:t xml:space="preserve"> (131</w:t>
      </w:r>
      <w:r w:rsidR="00991AB1" w:rsidRPr="009E654B">
        <w:rPr>
          <w:rFonts w:ascii="Arial" w:hAnsi="Arial" w:cs="Arial"/>
          <w:lang w:val="en-GB"/>
        </w:rPr>
        <w:t>,000 sqm</w:t>
      </w:r>
      <w:r w:rsidR="005C4F71" w:rsidRPr="009E654B">
        <w:rPr>
          <w:rFonts w:ascii="Arial" w:hAnsi="Arial" w:cs="Arial"/>
          <w:lang w:val="en-GB"/>
        </w:rPr>
        <w:t>).</w:t>
      </w:r>
    </w:p>
    <w:p w14:paraId="58A66D78" w14:textId="4F595E27" w:rsidR="00555B30" w:rsidRPr="009E654B" w:rsidRDefault="003E27D5" w:rsidP="00E04772">
      <w:pPr>
        <w:jc w:val="both"/>
        <w:rPr>
          <w:rFonts w:ascii="Arial" w:hAnsi="Arial" w:cs="Arial"/>
          <w:lang w:val="en-GB"/>
        </w:rPr>
      </w:pPr>
      <w:r w:rsidRPr="009E654B">
        <w:rPr>
          <w:rFonts w:ascii="Arial" w:hAnsi="Arial" w:cs="Arial"/>
          <w:lang w:val="en-GB"/>
        </w:rPr>
        <w:t xml:space="preserve">Major new leases </w:t>
      </w:r>
      <w:r w:rsidR="00733B1F" w:rsidRPr="009E654B">
        <w:rPr>
          <w:rFonts w:ascii="Arial" w:hAnsi="Arial" w:cs="Arial"/>
          <w:lang w:val="en-GB"/>
        </w:rPr>
        <w:t>saw</w:t>
      </w:r>
      <w:r w:rsidRPr="009E654B">
        <w:rPr>
          <w:rFonts w:ascii="Arial" w:hAnsi="Arial" w:cs="Arial"/>
          <w:lang w:val="en-GB"/>
        </w:rPr>
        <w:t xml:space="preserve"> </w:t>
      </w:r>
      <w:r w:rsidR="005C4F71" w:rsidRPr="009E654B">
        <w:rPr>
          <w:rFonts w:ascii="Arial" w:hAnsi="Arial" w:cs="Arial"/>
          <w:lang w:val="en-GB"/>
        </w:rPr>
        <w:t>SHEIN</w:t>
      </w:r>
      <w:r w:rsidR="00733B1F" w:rsidRPr="009E654B">
        <w:rPr>
          <w:rFonts w:ascii="Arial" w:hAnsi="Arial" w:cs="Arial"/>
          <w:lang w:val="en-GB"/>
        </w:rPr>
        <w:t xml:space="preserve"> take</w:t>
      </w:r>
      <w:r w:rsidR="005C4F71" w:rsidRPr="009E654B">
        <w:rPr>
          <w:rFonts w:ascii="Arial" w:hAnsi="Arial" w:cs="Arial"/>
          <w:lang w:val="en-GB"/>
        </w:rPr>
        <w:t xml:space="preserve"> 79</w:t>
      </w:r>
      <w:r w:rsidR="00733B1F" w:rsidRPr="009E654B">
        <w:rPr>
          <w:rFonts w:ascii="Arial" w:hAnsi="Arial" w:cs="Arial"/>
          <w:lang w:val="en-GB"/>
        </w:rPr>
        <w:t>,000 sqm at</w:t>
      </w:r>
      <w:r w:rsidR="005C4F71" w:rsidRPr="009E654B">
        <w:rPr>
          <w:rFonts w:ascii="Arial" w:hAnsi="Arial" w:cs="Arial"/>
          <w:lang w:val="en-GB"/>
        </w:rPr>
        <w:t xml:space="preserve"> ECE </w:t>
      </w:r>
      <w:proofErr w:type="spellStart"/>
      <w:r w:rsidR="005C4F71" w:rsidRPr="009E654B">
        <w:rPr>
          <w:rFonts w:ascii="Arial" w:hAnsi="Arial" w:cs="Arial"/>
          <w:lang w:val="en-GB"/>
        </w:rPr>
        <w:t>Kąty</w:t>
      </w:r>
      <w:proofErr w:type="spellEnd"/>
      <w:r w:rsidR="005C4F71" w:rsidRPr="009E654B">
        <w:rPr>
          <w:rFonts w:ascii="Arial" w:hAnsi="Arial" w:cs="Arial"/>
          <w:lang w:val="en-GB"/>
        </w:rPr>
        <w:t xml:space="preserve"> </w:t>
      </w:r>
      <w:proofErr w:type="spellStart"/>
      <w:r w:rsidR="005C4F71" w:rsidRPr="009E654B">
        <w:rPr>
          <w:rFonts w:ascii="Arial" w:hAnsi="Arial" w:cs="Arial"/>
          <w:lang w:val="en-GB"/>
        </w:rPr>
        <w:t>Wrocławskie</w:t>
      </w:r>
      <w:proofErr w:type="spellEnd"/>
      <w:r w:rsidR="005C4F71" w:rsidRPr="009E654B">
        <w:rPr>
          <w:rFonts w:ascii="Arial" w:hAnsi="Arial" w:cs="Arial"/>
          <w:lang w:val="en-GB"/>
        </w:rPr>
        <w:t xml:space="preserve"> </w:t>
      </w:r>
      <w:r w:rsidR="00733B1F" w:rsidRPr="009E654B">
        <w:rPr>
          <w:rFonts w:ascii="Arial" w:hAnsi="Arial" w:cs="Arial"/>
          <w:lang w:val="en-GB"/>
        </w:rPr>
        <w:t>and</w:t>
      </w:r>
      <w:r w:rsidR="005C4F71" w:rsidRPr="009E654B">
        <w:rPr>
          <w:rFonts w:ascii="Arial" w:hAnsi="Arial" w:cs="Arial"/>
          <w:lang w:val="en-GB"/>
        </w:rPr>
        <w:t xml:space="preserve"> </w:t>
      </w:r>
      <w:r w:rsidR="003C6BAD" w:rsidRPr="009E654B">
        <w:rPr>
          <w:rFonts w:ascii="Arial" w:hAnsi="Arial" w:cs="Arial"/>
          <w:lang w:val="en-GB"/>
        </w:rPr>
        <w:t>Schaeffler</w:t>
      </w:r>
      <w:r w:rsidR="00733B1F" w:rsidRPr="009E654B">
        <w:rPr>
          <w:rFonts w:ascii="Arial" w:hAnsi="Arial" w:cs="Arial"/>
          <w:lang w:val="en-GB"/>
        </w:rPr>
        <w:t xml:space="preserve"> occupy 63,000 sqm </w:t>
      </w:r>
      <w:r w:rsidR="001807A7" w:rsidRPr="009E654B">
        <w:rPr>
          <w:rFonts w:ascii="Arial" w:hAnsi="Arial" w:cs="Arial"/>
          <w:lang w:val="en-GB"/>
        </w:rPr>
        <w:t>at</w:t>
      </w:r>
      <w:r w:rsidR="005C4F71" w:rsidRPr="009E654B">
        <w:rPr>
          <w:rFonts w:ascii="Arial" w:hAnsi="Arial" w:cs="Arial"/>
          <w:lang w:val="en-GB"/>
        </w:rPr>
        <w:t xml:space="preserve"> Prologis Park </w:t>
      </w:r>
      <w:proofErr w:type="spellStart"/>
      <w:r w:rsidR="005C4F71" w:rsidRPr="009E654B">
        <w:rPr>
          <w:rFonts w:ascii="Arial" w:hAnsi="Arial" w:cs="Arial"/>
          <w:lang w:val="en-GB"/>
        </w:rPr>
        <w:t>Ujazd</w:t>
      </w:r>
      <w:proofErr w:type="spellEnd"/>
      <w:r w:rsidR="005C4F71" w:rsidRPr="009E654B">
        <w:rPr>
          <w:rFonts w:ascii="Arial" w:hAnsi="Arial" w:cs="Arial"/>
          <w:lang w:val="en-GB"/>
        </w:rPr>
        <w:t xml:space="preserve"> </w:t>
      </w:r>
      <w:r w:rsidR="001807A7" w:rsidRPr="009E654B">
        <w:rPr>
          <w:rFonts w:ascii="Arial" w:hAnsi="Arial" w:cs="Arial"/>
          <w:lang w:val="en-GB"/>
        </w:rPr>
        <w:t xml:space="preserve">in </w:t>
      </w:r>
      <w:r w:rsidR="00AF6689">
        <w:rPr>
          <w:rFonts w:ascii="Arial" w:hAnsi="Arial" w:cs="Arial"/>
          <w:lang w:val="en-GB"/>
        </w:rPr>
        <w:t xml:space="preserve">the </w:t>
      </w:r>
      <w:r w:rsidR="001807A7" w:rsidRPr="009E654B">
        <w:rPr>
          <w:rFonts w:ascii="Arial" w:hAnsi="Arial" w:cs="Arial"/>
          <w:lang w:val="en-GB"/>
        </w:rPr>
        <w:t>Opole</w:t>
      </w:r>
      <w:r w:rsidR="00AF6689">
        <w:rPr>
          <w:rFonts w:ascii="Arial" w:hAnsi="Arial" w:cs="Arial"/>
          <w:lang w:val="en-GB"/>
        </w:rPr>
        <w:t xml:space="preserve"> zone</w:t>
      </w:r>
      <w:r w:rsidR="005C4F71" w:rsidRPr="009E654B">
        <w:rPr>
          <w:rFonts w:ascii="Arial" w:hAnsi="Arial" w:cs="Arial"/>
          <w:lang w:val="en-GB"/>
        </w:rPr>
        <w:t xml:space="preserve">.  </w:t>
      </w:r>
    </w:p>
    <w:p w14:paraId="029676CA" w14:textId="50D00629" w:rsidR="009477E2" w:rsidRPr="009E654B" w:rsidRDefault="001807A7" w:rsidP="0019690B">
      <w:pPr>
        <w:jc w:val="both"/>
        <w:rPr>
          <w:rFonts w:ascii="Arial" w:hAnsi="Arial" w:cs="Arial"/>
          <w:lang w:val="en-GB"/>
        </w:rPr>
      </w:pPr>
      <w:r w:rsidRPr="009E654B">
        <w:rPr>
          <w:rFonts w:ascii="Arial" w:hAnsi="Arial" w:cs="Arial"/>
          <w:lang w:val="en-GB"/>
        </w:rPr>
        <w:t xml:space="preserve">Leasing activity </w:t>
      </w:r>
      <w:r w:rsidR="0090165B" w:rsidRPr="009E654B">
        <w:rPr>
          <w:rFonts w:ascii="Arial" w:hAnsi="Arial" w:cs="Arial"/>
          <w:lang w:val="en-GB"/>
        </w:rPr>
        <w:t xml:space="preserve">was </w:t>
      </w:r>
      <w:r w:rsidRPr="009E654B">
        <w:rPr>
          <w:rFonts w:ascii="Arial" w:hAnsi="Arial" w:cs="Arial"/>
          <w:lang w:val="en-GB"/>
        </w:rPr>
        <w:t xml:space="preserve">predominantly </w:t>
      </w:r>
      <w:r w:rsidR="0090165B" w:rsidRPr="009E654B">
        <w:rPr>
          <w:rFonts w:ascii="Arial" w:hAnsi="Arial" w:cs="Arial"/>
          <w:lang w:val="en-GB"/>
        </w:rPr>
        <w:t xml:space="preserve">driven by </w:t>
      </w:r>
      <w:r w:rsidR="00681ACD" w:rsidRPr="009E654B">
        <w:rPr>
          <w:rFonts w:ascii="Arial" w:hAnsi="Arial" w:cs="Arial"/>
          <w:lang w:val="en-GB"/>
        </w:rPr>
        <w:t>logist</w:t>
      </w:r>
      <w:r w:rsidRPr="009E654B">
        <w:rPr>
          <w:rFonts w:ascii="Arial" w:hAnsi="Arial" w:cs="Arial"/>
          <w:lang w:val="en-GB"/>
        </w:rPr>
        <w:t>ics</w:t>
      </w:r>
      <w:r w:rsidR="00681ACD" w:rsidRPr="009E654B">
        <w:rPr>
          <w:rFonts w:ascii="Arial" w:hAnsi="Arial" w:cs="Arial"/>
          <w:lang w:val="en-GB"/>
        </w:rPr>
        <w:t xml:space="preserve">, </w:t>
      </w:r>
      <w:r w:rsidRPr="009E654B">
        <w:rPr>
          <w:rFonts w:ascii="Arial" w:hAnsi="Arial" w:cs="Arial"/>
          <w:lang w:val="en-GB"/>
        </w:rPr>
        <w:t xml:space="preserve">distribution and </w:t>
      </w:r>
      <w:r w:rsidR="00681ACD" w:rsidRPr="009E654B">
        <w:rPr>
          <w:rFonts w:ascii="Arial" w:hAnsi="Arial" w:cs="Arial"/>
          <w:lang w:val="en-GB"/>
        </w:rPr>
        <w:t>transport</w:t>
      </w:r>
      <w:r w:rsidR="00AB3AF0" w:rsidRPr="009E654B">
        <w:rPr>
          <w:rFonts w:ascii="Arial" w:hAnsi="Arial" w:cs="Arial"/>
          <w:lang w:val="en-GB"/>
        </w:rPr>
        <w:t xml:space="preserve">, which accounted for </w:t>
      </w:r>
      <w:r w:rsidR="00681ACD" w:rsidRPr="009E654B">
        <w:rPr>
          <w:rFonts w:ascii="Arial" w:hAnsi="Arial" w:cs="Arial"/>
          <w:lang w:val="en-GB"/>
        </w:rPr>
        <w:t xml:space="preserve">37% </w:t>
      </w:r>
      <w:r w:rsidR="00AB3AF0" w:rsidRPr="009E654B">
        <w:rPr>
          <w:rFonts w:ascii="Arial" w:hAnsi="Arial" w:cs="Arial"/>
          <w:lang w:val="en-GB"/>
        </w:rPr>
        <w:t>of the market</w:t>
      </w:r>
      <w:r w:rsidR="00681ACD" w:rsidRPr="009E654B">
        <w:rPr>
          <w:rFonts w:ascii="Arial" w:hAnsi="Arial" w:cs="Arial"/>
          <w:lang w:val="en-GB"/>
        </w:rPr>
        <w:t>.</w:t>
      </w:r>
      <w:r w:rsidR="05A48EF0" w:rsidRPr="009E654B">
        <w:rPr>
          <w:rFonts w:ascii="Arial" w:hAnsi="Arial" w:cs="Arial"/>
          <w:lang w:val="en-GB"/>
        </w:rPr>
        <w:t xml:space="preserve"> </w:t>
      </w:r>
      <w:r w:rsidR="00033EB7" w:rsidRPr="009E654B">
        <w:rPr>
          <w:rFonts w:ascii="Arial" w:hAnsi="Arial" w:cs="Arial"/>
          <w:lang w:val="en-GB"/>
        </w:rPr>
        <w:t>Manufacturing companies contributed 33% to gross industrial and logistics take-up, with retailers adding another 22%.</w:t>
      </w:r>
      <w:r w:rsidR="00FE22A0" w:rsidRPr="009E654B">
        <w:rPr>
          <w:rFonts w:ascii="Arial" w:hAnsi="Arial" w:cs="Arial"/>
          <w:lang w:val="en-GB"/>
        </w:rPr>
        <w:t xml:space="preserve"> </w:t>
      </w:r>
    </w:p>
    <w:p w14:paraId="449092CB" w14:textId="28ECBE07" w:rsidR="00C150DA" w:rsidRPr="009E654B" w:rsidRDefault="008D0733" w:rsidP="00036B49">
      <w:pPr>
        <w:jc w:val="both"/>
        <w:rPr>
          <w:rFonts w:ascii="Arial" w:hAnsi="Arial" w:cs="Arial"/>
          <w:b/>
          <w:bCs/>
          <w:color w:val="00B050"/>
          <w:lang w:val="en-GB"/>
        </w:rPr>
      </w:pPr>
      <w:r w:rsidRPr="009E654B">
        <w:rPr>
          <w:rFonts w:ascii="Arial" w:hAnsi="Arial" w:cs="Arial"/>
          <w:b/>
          <w:bCs/>
          <w:color w:val="00B050"/>
          <w:lang w:val="en-GB"/>
        </w:rPr>
        <w:t xml:space="preserve">Rents </w:t>
      </w:r>
      <w:r w:rsidR="00B8721D" w:rsidRPr="009E654B">
        <w:rPr>
          <w:rFonts w:ascii="Arial" w:hAnsi="Arial" w:cs="Arial"/>
          <w:b/>
          <w:bCs/>
          <w:color w:val="00B050"/>
          <w:lang w:val="en-GB"/>
        </w:rPr>
        <w:t>hold firm</w:t>
      </w:r>
    </w:p>
    <w:p w14:paraId="7A0AD579" w14:textId="57892311" w:rsidR="008A40C0" w:rsidRPr="009E654B" w:rsidRDefault="00B8721D" w:rsidP="00EB63DC">
      <w:pPr>
        <w:jc w:val="both"/>
        <w:rPr>
          <w:rFonts w:ascii="Arial" w:hAnsi="Arial" w:cs="Arial"/>
          <w:lang w:val="en-GB"/>
        </w:rPr>
      </w:pPr>
      <w:r w:rsidRPr="009E654B">
        <w:rPr>
          <w:rFonts w:ascii="Arial" w:hAnsi="Arial" w:cs="Arial"/>
          <w:lang w:val="en-GB"/>
        </w:rPr>
        <w:t>At the end of the second quarter, Class A industrial and logistics rents in Poland’s key markets remain</w:t>
      </w:r>
      <w:r w:rsidR="00B6191A" w:rsidRPr="009E654B">
        <w:rPr>
          <w:rFonts w:ascii="Arial" w:hAnsi="Arial" w:cs="Arial"/>
          <w:lang w:val="en-GB"/>
        </w:rPr>
        <w:t xml:space="preserve">ed stable. </w:t>
      </w:r>
      <w:r w:rsidR="00C264FD" w:rsidRPr="009E654B">
        <w:rPr>
          <w:rFonts w:ascii="Arial" w:hAnsi="Arial" w:cs="Arial"/>
          <w:lang w:val="en-GB"/>
        </w:rPr>
        <w:t>Monthly rental rates for logistics and distribution space averaged EUR 4.3 per sqm</w:t>
      </w:r>
      <w:r w:rsidR="008F3FA0" w:rsidRPr="009E654B">
        <w:rPr>
          <w:rFonts w:ascii="Arial" w:hAnsi="Arial" w:cs="Arial"/>
          <w:lang w:val="en-GB"/>
        </w:rPr>
        <w:t>, while those for urban logistics facilities stood at EUR 7 per sqm</w:t>
      </w:r>
      <w:r w:rsidR="00912C81" w:rsidRPr="009E654B">
        <w:rPr>
          <w:rFonts w:ascii="Arial" w:hAnsi="Arial" w:cs="Arial"/>
          <w:lang w:val="en-GB"/>
        </w:rPr>
        <w:t xml:space="preserve"> – unchanged relative to the previous quarter and year. </w:t>
      </w:r>
      <w:r w:rsidR="00457B73" w:rsidRPr="009E654B">
        <w:rPr>
          <w:rFonts w:ascii="Arial" w:hAnsi="Arial" w:cs="Arial"/>
          <w:lang w:val="en-GB"/>
        </w:rPr>
        <w:t xml:space="preserve">Of all </w:t>
      </w:r>
      <w:r w:rsidR="00F97BBE">
        <w:rPr>
          <w:rFonts w:ascii="Arial" w:hAnsi="Arial" w:cs="Arial"/>
          <w:lang w:val="en-GB"/>
        </w:rPr>
        <w:t>zones</w:t>
      </w:r>
      <w:r w:rsidR="000974F0" w:rsidRPr="009E654B">
        <w:rPr>
          <w:rFonts w:ascii="Arial" w:hAnsi="Arial" w:cs="Arial"/>
          <w:lang w:val="en-GB"/>
        </w:rPr>
        <w:t xml:space="preserve">, Warsaw I showed the </w:t>
      </w:r>
      <w:r w:rsidR="00891163" w:rsidRPr="009E654B">
        <w:rPr>
          <w:rFonts w:ascii="Arial" w:hAnsi="Arial" w:cs="Arial"/>
          <w:lang w:val="en-GB"/>
        </w:rPr>
        <w:t>greatest</w:t>
      </w:r>
      <w:r w:rsidR="000974F0" w:rsidRPr="009E654B">
        <w:rPr>
          <w:rFonts w:ascii="Arial" w:hAnsi="Arial" w:cs="Arial"/>
          <w:lang w:val="en-GB"/>
        </w:rPr>
        <w:t xml:space="preserve"> variation in asking rents</w:t>
      </w:r>
      <w:r w:rsidR="008A40C0" w:rsidRPr="009E654B">
        <w:rPr>
          <w:rFonts w:ascii="Arial" w:hAnsi="Arial" w:cs="Arial"/>
          <w:lang w:val="en-GB"/>
        </w:rPr>
        <w:t xml:space="preserve">. </w:t>
      </w:r>
    </w:p>
    <w:p w14:paraId="588A1BE5" w14:textId="06C4F196" w:rsidR="00EB63DC" w:rsidRPr="009E654B" w:rsidRDefault="00C428F6" w:rsidP="4397B7B2">
      <w:pPr>
        <w:jc w:val="both"/>
        <w:rPr>
          <w:rFonts w:ascii="Arial" w:hAnsi="Arial" w:cs="Arial"/>
          <w:i/>
          <w:iCs/>
          <w:lang w:val="en-GB"/>
        </w:rPr>
      </w:pPr>
      <w:r w:rsidRPr="009E654B">
        <w:rPr>
          <w:rFonts w:ascii="Arial" w:hAnsi="Arial" w:cs="Arial"/>
          <w:i/>
          <w:iCs/>
          <w:lang w:val="en-GB"/>
        </w:rPr>
        <w:t xml:space="preserve">“The outlook for the coming quarters points to continued stability in both rental </w:t>
      </w:r>
      <w:r w:rsidR="00B61BD8" w:rsidRPr="009E654B">
        <w:rPr>
          <w:rFonts w:ascii="Arial" w:hAnsi="Arial" w:cs="Arial"/>
          <w:i/>
          <w:iCs/>
          <w:lang w:val="en-GB"/>
        </w:rPr>
        <w:t>levels</w:t>
      </w:r>
      <w:r w:rsidRPr="009E654B">
        <w:rPr>
          <w:rFonts w:ascii="Arial" w:hAnsi="Arial" w:cs="Arial"/>
          <w:i/>
          <w:iCs/>
          <w:lang w:val="en-GB"/>
        </w:rPr>
        <w:t xml:space="preserve"> and leasing activity. The </w:t>
      </w:r>
      <w:r w:rsidR="00F97BBE">
        <w:rPr>
          <w:rFonts w:ascii="Arial" w:hAnsi="Arial" w:cs="Arial"/>
          <w:i/>
          <w:iCs/>
          <w:lang w:val="en-GB"/>
        </w:rPr>
        <w:t xml:space="preserve">industrial and logistics </w:t>
      </w:r>
      <w:r w:rsidRPr="009E654B">
        <w:rPr>
          <w:rFonts w:ascii="Arial" w:hAnsi="Arial" w:cs="Arial"/>
          <w:i/>
          <w:iCs/>
          <w:lang w:val="en-GB"/>
        </w:rPr>
        <w:t xml:space="preserve">market </w:t>
      </w:r>
      <w:r w:rsidR="00C92225" w:rsidRPr="009E654B">
        <w:rPr>
          <w:rFonts w:ascii="Arial" w:hAnsi="Arial" w:cs="Arial"/>
          <w:i/>
          <w:iCs/>
          <w:lang w:val="en-GB"/>
        </w:rPr>
        <w:t>remains</w:t>
      </w:r>
      <w:r w:rsidRPr="009E654B">
        <w:rPr>
          <w:rFonts w:ascii="Arial" w:hAnsi="Arial" w:cs="Arial"/>
          <w:i/>
          <w:iCs/>
          <w:lang w:val="en-GB"/>
        </w:rPr>
        <w:t xml:space="preserve"> </w:t>
      </w:r>
      <w:r w:rsidR="00F97BBE">
        <w:rPr>
          <w:rFonts w:ascii="Arial" w:hAnsi="Arial" w:cs="Arial"/>
          <w:i/>
          <w:iCs/>
          <w:lang w:val="en-GB"/>
        </w:rPr>
        <w:t>balanced</w:t>
      </w:r>
      <w:r w:rsidRPr="009E654B">
        <w:rPr>
          <w:rFonts w:ascii="Arial" w:hAnsi="Arial" w:cs="Arial"/>
          <w:i/>
          <w:iCs/>
          <w:lang w:val="en-GB"/>
        </w:rPr>
        <w:t xml:space="preserve">, with </w:t>
      </w:r>
      <w:r w:rsidR="00F97BBE">
        <w:rPr>
          <w:rFonts w:ascii="Arial" w:hAnsi="Arial" w:cs="Arial"/>
          <w:i/>
          <w:iCs/>
          <w:lang w:val="en-GB"/>
        </w:rPr>
        <w:t xml:space="preserve">pricing </w:t>
      </w:r>
      <w:r w:rsidRPr="009E654B">
        <w:rPr>
          <w:rFonts w:ascii="Arial" w:hAnsi="Arial" w:cs="Arial"/>
          <w:i/>
          <w:iCs/>
          <w:lang w:val="en-GB"/>
        </w:rPr>
        <w:t xml:space="preserve">pressure limited to locations with elevated vacancy </w:t>
      </w:r>
      <w:r w:rsidR="00B61BD8" w:rsidRPr="009E654B">
        <w:rPr>
          <w:rFonts w:ascii="Arial" w:hAnsi="Arial" w:cs="Arial"/>
          <w:i/>
          <w:iCs/>
          <w:lang w:val="en-GB"/>
        </w:rPr>
        <w:t>rates</w:t>
      </w:r>
      <w:r w:rsidR="00C221DA" w:rsidRPr="009E654B">
        <w:rPr>
          <w:rFonts w:ascii="Arial" w:hAnsi="Arial" w:cs="Arial"/>
          <w:i/>
          <w:iCs/>
          <w:lang w:val="en-GB"/>
        </w:rPr>
        <w:t>,”</w:t>
      </w:r>
      <w:r w:rsidR="00EB63DC" w:rsidRPr="009E654B">
        <w:rPr>
          <w:rFonts w:ascii="Arial" w:hAnsi="Arial" w:cs="Arial"/>
          <w:i/>
          <w:iCs/>
          <w:lang w:val="en-GB"/>
        </w:rPr>
        <w:t xml:space="preserve"> </w:t>
      </w:r>
      <w:r w:rsidR="00C221DA" w:rsidRPr="009E654B">
        <w:rPr>
          <w:rFonts w:ascii="Arial" w:hAnsi="Arial" w:cs="Arial"/>
          <w:lang w:val="en-GB"/>
        </w:rPr>
        <w:t>says</w:t>
      </w:r>
      <w:r w:rsidR="00EB63DC" w:rsidRPr="009E654B">
        <w:rPr>
          <w:rFonts w:ascii="Arial" w:hAnsi="Arial" w:cs="Arial"/>
          <w:i/>
          <w:iCs/>
          <w:lang w:val="en-GB"/>
        </w:rPr>
        <w:t xml:space="preserve"> </w:t>
      </w:r>
      <w:r w:rsidR="003C6BAD" w:rsidRPr="009E654B">
        <w:rPr>
          <w:rFonts w:ascii="Arial" w:hAnsi="Arial" w:cs="Arial"/>
          <w:b/>
          <w:bCs/>
          <w:lang w:val="en-GB"/>
        </w:rPr>
        <w:t>Piotr Załęski</w:t>
      </w:r>
      <w:r w:rsidR="00EB63DC" w:rsidRPr="009E654B">
        <w:rPr>
          <w:rFonts w:ascii="Arial" w:hAnsi="Arial" w:cs="Arial"/>
          <w:b/>
          <w:bCs/>
          <w:lang w:val="en-GB"/>
        </w:rPr>
        <w:t>,</w:t>
      </w:r>
      <w:r w:rsidR="0BAFAE89" w:rsidRPr="009E654B">
        <w:rPr>
          <w:rFonts w:ascii="Arial" w:hAnsi="Arial" w:cs="Arial"/>
          <w:b/>
          <w:bCs/>
          <w:lang w:val="en-GB"/>
        </w:rPr>
        <w:t xml:space="preserve"> D</w:t>
      </w:r>
      <w:r w:rsidR="00CB0D38" w:rsidRPr="009E654B">
        <w:rPr>
          <w:rFonts w:ascii="Arial" w:hAnsi="Arial" w:cs="Arial"/>
          <w:b/>
          <w:bCs/>
          <w:lang w:val="en-GB"/>
        </w:rPr>
        <w:t>i</w:t>
      </w:r>
      <w:r w:rsidR="0BAFAE89" w:rsidRPr="009E654B">
        <w:rPr>
          <w:rFonts w:ascii="Arial" w:hAnsi="Arial" w:cs="Arial"/>
          <w:b/>
          <w:bCs/>
          <w:lang w:val="en-GB"/>
        </w:rPr>
        <w:t>re</w:t>
      </w:r>
      <w:r w:rsidR="00CB0D38" w:rsidRPr="009E654B">
        <w:rPr>
          <w:rFonts w:ascii="Arial" w:hAnsi="Arial" w:cs="Arial"/>
          <w:b/>
          <w:bCs/>
          <w:lang w:val="en-GB"/>
        </w:rPr>
        <w:t>c</w:t>
      </w:r>
      <w:r w:rsidR="0BAFAE89" w:rsidRPr="009E654B">
        <w:rPr>
          <w:rFonts w:ascii="Arial" w:hAnsi="Arial" w:cs="Arial"/>
          <w:b/>
          <w:bCs/>
          <w:lang w:val="en-GB"/>
        </w:rPr>
        <w:t>tor,</w:t>
      </w:r>
      <w:r w:rsidR="00EB63DC" w:rsidRPr="009E654B">
        <w:rPr>
          <w:rFonts w:ascii="Arial" w:hAnsi="Arial" w:cs="Arial"/>
          <w:b/>
          <w:bCs/>
          <w:lang w:val="en-GB"/>
        </w:rPr>
        <w:t xml:space="preserve"> </w:t>
      </w:r>
      <w:r w:rsidR="00CB0D38" w:rsidRPr="009E654B">
        <w:rPr>
          <w:rFonts w:ascii="Arial" w:hAnsi="Arial" w:cs="Arial"/>
          <w:b/>
          <w:bCs/>
          <w:lang w:val="en-GB"/>
        </w:rPr>
        <w:t>Industrial and Logistics</w:t>
      </w:r>
      <w:r w:rsidR="00EB63DC" w:rsidRPr="009E654B">
        <w:rPr>
          <w:rFonts w:ascii="Arial" w:hAnsi="Arial" w:cs="Arial"/>
          <w:b/>
          <w:bCs/>
          <w:lang w:val="en-GB"/>
        </w:rPr>
        <w:t>, BNP Paribas Real Estate Poland.</w:t>
      </w:r>
    </w:p>
    <w:p w14:paraId="702D2B84" w14:textId="1296B067" w:rsidR="00117D88" w:rsidRPr="009E654B" w:rsidRDefault="00975454" w:rsidP="00036B49">
      <w:pPr>
        <w:jc w:val="both"/>
        <w:rPr>
          <w:rFonts w:ascii="Arial" w:hAnsi="Arial" w:cs="Arial"/>
          <w:b/>
          <w:bCs/>
          <w:color w:val="00B050"/>
          <w:lang w:val="en-GB"/>
        </w:rPr>
      </w:pPr>
      <w:r w:rsidRPr="009E654B">
        <w:rPr>
          <w:rFonts w:ascii="Arial" w:hAnsi="Arial" w:cs="Arial"/>
          <w:b/>
          <w:bCs/>
          <w:color w:val="00B050"/>
          <w:lang w:val="en-GB"/>
        </w:rPr>
        <w:t>Vacancies</w:t>
      </w:r>
    </w:p>
    <w:p w14:paraId="02814019" w14:textId="31E45A19" w:rsidR="009477E2" w:rsidRPr="009E654B" w:rsidRDefault="00CF4B2F" w:rsidP="00036B49">
      <w:pPr>
        <w:jc w:val="both"/>
        <w:rPr>
          <w:rFonts w:ascii="Arial" w:hAnsi="Arial" w:cs="Arial"/>
          <w:lang w:val="en-GB"/>
        </w:rPr>
      </w:pPr>
      <w:r w:rsidRPr="009E654B">
        <w:rPr>
          <w:rFonts w:ascii="Arial" w:hAnsi="Arial" w:cs="Arial"/>
          <w:lang w:val="en-GB"/>
        </w:rPr>
        <w:t xml:space="preserve">At the end of the first half of the year, Poland’s overall vacancy rate stood at </w:t>
      </w:r>
      <w:r w:rsidR="00FD0850" w:rsidRPr="009E654B">
        <w:rPr>
          <w:rFonts w:ascii="Arial" w:hAnsi="Arial" w:cs="Arial"/>
          <w:lang w:val="en-GB"/>
        </w:rPr>
        <w:t>8</w:t>
      </w:r>
      <w:r w:rsidRPr="009E654B">
        <w:rPr>
          <w:rFonts w:ascii="Arial" w:hAnsi="Arial" w:cs="Arial"/>
          <w:lang w:val="en-GB"/>
        </w:rPr>
        <w:t>.</w:t>
      </w:r>
      <w:r w:rsidR="00AC69F6" w:rsidRPr="009E654B">
        <w:rPr>
          <w:rFonts w:ascii="Arial" w:hAnsi="Arial" w:cs="Arial"/>
          <w:lang w:val="en-GB"/>
        </w:rPr>
        <w:t>2</w:t>
      </w:r>
      <w:r w:rsidR="00FD0850" w:rsidRPr="009E654B">
        <w:rPr>
          <w:rFonts w:ascii="Arial" w:hAnsi="Arial" w:cs="Arial"/>
          <w:lang w:val="en-GB"/>
        </w:rPr>
        <w:t xml:space="preserve">%, </w:t>
      </w:r>
      <w:r w:rsidRPr="009E654B">
        <w:rPr>
          <w:rFonts w:ascii="Arial" w:hAnsi="Arial" w:cs="Arial"/>
          <w:lang w:val="en-GB"/>
        </w:rPr>
        <w:t xml:space="preserve">down </w:t>
      </w:r>
      <w:r w:rsidR="00FD0850" w:rsidRPr="009E654B">
        <w:rPr>
          <w:rFonts w:ascii="Arial" w:hAnsi="Arial" w:cs="Arial"/>
          <w:lang w:val="en-GB"/>
        </w:rPr>
        <w:t>0</w:t>
      </w:r>
      <w:r w:rsidRPr="009E654B">
        <w:rPr>
          <w:rFonts w:ascii="Arial" w:hAnsi="Arial" w:cs="Arial"/>
          <w:lang w:val="en-GB"/>
        </w:rPr>
        <w:t>.</w:t>
      </w:r>
      <w:r w:rsidR="00AC69F6" w:rsidRPr="009E654B">
        <w:rPr>
          <w:rFonts w:ascii="Arial" w:hAnsi="Arial" w:cs="Arial"/>
          <w:lang w:val="en-GB"/>
        </w:rPr>
        <w:t>2</w:t>
      </w:r>
      <w:r w:rsidR="00FD0850" w:rsidRPr="009E654B">
        <w:rPr>
          <w:rFonts w:ascii="Arial" w:hAnsi="Arial" w:cs="Arial"/>
          <w:lang w:val="en-GB"/>
        </w:rPr>
        <w:t xml:space="preserve"> pp</w:t>
      </w:r>
      <w:r w:rsidRPr="009E654B">
        <w:rPr>
          <w:rFonts w:ascii="Arial" w:hAnsi="Arial" w:cs="Arial"/>
          <w:lang w:val="en-GB"/>
        </w:rPr>
        <w:t xml:space="preserve"> </w:t>
      </w:r>
      <w:r w:rsidR="009F536F" w:rsidRPr="009E654B">
        <w:rPr>
          <w:rFonts w:ascii="Arial" w:hAnsi="Arial" w:cs="Arial"/>
          <w:lang w:val="en-GB"/>
        </w:rPr>
        <w:t xml:space="preserve">compared with the first quarter and 0.1 pp year-on-year. The highest </w:t>
      </w:r>
      <w:r w:rsidR="00DD7915" w:rsidRPr="009E654B">
        <w:rPr>
          <w:rFonts w:ascii="Arial" w:hAnsi="Arial" w:cs="Arial"/>
          <w:lang w:val="en-GB"/>
        </w:rPr>
        <w:t xml:space="preserve">warehouse </w:t>
      </w:r>
      <w:r w:rsidR="009F536F" w:rsidRPr="009E654B">
        <w:rPr>
          <w:rFonts w:ascii="Arial" w:hAnsi="Arial" w:cs="Arial"/>
          <w:lang w:val="en-GB"/>
        </w:rPr>
        <w:t xml:space="preserve">vacancy rates were </w:t>
      </w:r>
      <w:r w:rsidR="00DD7915" w:rsidRPr="009E654B">
        <w:rPr>
          <w:rFonts w:ascii="Arial" w:hAnsi="Arial" w:cs="Arial"/>
          <w:lang w:val="en-GB"/>
        </w:rPr>
        <w:t>recorded in the West</w:t>
      </w:r>
      <w:r w:rsidR="00FD0850" w:rsidRPr="009E654B">
        <w:rPr>
          <w:rFonts w:ascii="Arial" w:hAnsi="Arial" w:cs="Arial"/>
          <w:lang w:val="en-GB"/>
        </w:rPr>
        <w:t xml:space="preserve"> (</w:t>
      </w:r>
      <w:r w:rsidR="00B0792E" w:rsidRPr="009E654B">
        <w:rPr>
          <w:rFonts w:ascii="Arial" w:hAnsi="Arial" w:cs="Arial"/>
          <w:lang w:val="en-GB"/>
        </w:rPr>
        <w:t>17</w:t>
      </w:r>
      <w:r w:rsidR="00DD7915" w:rsidRPr="009E654B">
        <w:rPr>
          <w:rFonts w:ascii="Arial" w:hAnsi="Arial" w:cs="Arial"/>
          <w:lang w:val="en-GB"/>
        </w:rPr>
        <w:t>.</w:t>
      </w:r>
      <w:r w:rsidR="00B0792E" w:rsidRPr="009E654B">
        <w:rPr>
          <w:rFonts w:ascii="Arial" w:hAnsi="Arial" w:cs="Arial"/>
          <w:lang w:val="en-GB"/>
        </w:rPr>
        <w:t>1</w:t>
      </w:r>
      <w:r w:rsidR="00FD0850" w:rsidRPr="009E654B">
        <w:rPr>
          <w:rFonts w:ascii="Arial" w:hAnsi="Arial" w:cs="Arial"/>
          <w:lang w:val="en-GB"/>
        </w:rPr>
        <w:t xml:space="preserve">%), </w:t>
      </w:r>
      <w:r w:rsidR="00DD7915" w:rsidRPr="009E654B">
        <w:rPr>
          <w:rFonts w:ascii="Arial" w:hAnsi="Arial" w:cs="Arial"/>
          <w:lang w:val="en-GB"/>
        </w:rPr>
        <w:t>Tricity</w:t>
      </w:r>
      <w:r w:rsidR="00B0792E" w:rsidRPr="009E654B">
        <w:rPr>
          <w:rFonts w:ascii="Arial" w:hAnsi="Arial" w:cs="Arial"/>
          <w:lang w:val="en-GB"/>
        </w:rPr>
        <w:t xml:space="preserve"> (10</w:t>
      </w:r>
      <w:r w:rsidR="00DD7915" w:rsidRPr="009E654B">
        <w:rPr>
          <w:rFonts w:ascii="Arial" w:hAnsi="Arial" w:cs="Arial"/>
          <w:lang w:val="en-GB"/>
        </w:rPr>
        <w:t>.</w:t>
      </w:r>
      <w:r w:rsidR="00B0792E" w:rsidRPr="009E654B">
        <w:rPr>
          <w:rFonts w:ascii="Arial" w:hAnsi="Arial" w:cs="Arial"/>
          <w:lang w:val="en-GB"/>
        </w:rPr>
        <w:t xml:space="preserve">7%) </w:t>
      </w:r>
      <w:r w:rsidR="00DD7915" w:rsidRPr="009E654B">
        <w:rPr>
          <w:rFonts w:ascii="Arial" w:hAnsi="Arial" w:cs="Arial"/>
          <w:lang w:val="en-GB"/>
        </w:rPr>
        <w:t>and Lower Silesia</w:t>
      </w:r>
      <w:r w:rsidR="00B0792E" w:rsidRPr="009E654B">
        <w:rPr>
          <w:rFonts w:ascii="Arial" w:hAnsi="Arial" w:cs="Arial"/>
          <w:lang w:val="en-GB"/>
        </w:rPr>
        <w:t xml:space="preserve"> (9</w:t>
      </w:r>
      <w:r w:rsidR="00DD7915" w:rsidRPr="009E654B">
        <w:rPr>
          <w:rFonts w:ascii="Arial" w:hAnsi="Arial" w:cs="Arial"/>
          <w:lang w:val="en-GB"/>
        </w:rPr>
        <w:t>.</w:t>
      </w:r>
      <w:r w:rsidR="00B0792E" w:rsidRPr="009E654B">
        <w:rPr>
          <w:rFonts w:ascii="Arial" w:hAnsi="Arial" w:cs="Arial"/>
          <w:lang w:val="en-GB"/>
        </w:rPr>
        <w:t>6%)</w:t>
      </w:r>
      <w:r w:rsidR="00DD7915" w:rsidRPr="009E654B">
        <w:rPr>
          <w:rFonts w:ascii="Arial" w:hAnsi="Arial" w:cs="Arial"/>
          <w:lang w:val="en-GB"/>
        </w:rPr>
        <w:t>, while the lowest were in</w:t>
      </w:r>
      <w:r w:rsidR="00FD0850" w:rsidRPr="009E654B">
        <w:rPr>
          <w:rFonts w:ascii="Arial" w:hAnsi="Arial" w:cs="Arial"/>
          <w:lang w:val="en-GB"/>
        </w:rPr>
        <w:t xml:space="preserve"> Opol</w:t>
      </w:r>
      <w:r w:rsidR="00DD7915" w:rsidRPr="009E654B">
        <w:rPr>
          <w:rFonts w:ascii="Arial" w:hAnsi="Arial" w:cs="Arial"/>
          <w:lang w:val="en-GB"/>
        </w:rPr>
        <w:t>e</w:t>
      </w:r>
      <w:r w:rsidR="00FD0850" w:rsidRPr="009E654B">
        <w:rPr>
          <w:rFonts w:ascii="Arial" w:hAnsi="Arial" w:cs="Arial"/>
          <w:lang w:val="en-GB"/>
        </w:rPr>
        <w:t xml:space="preserve"> (</w:t>
      </w:r>
      <w:r w:rsidR="00B0792E" w:rsidRPr="009E654B">
        <w:rPr>
          <w:rFonts w:ascii="Arial" w:hAnsi="Arial" w:cs="Arial"/>
          <w:lang w:val="en-GB"/>
        </w:rPr>
        <w:t>1</w:t>
      </w:r>
      <w:r w:rsidR="00112A29" w:rsidRPr="009E654B">
        <w:rPr>
          <w:rFonts w:ascii="Arial" w:hAnsi="Arial" w:cs="Arial"/>
          <w:lang w:val="en-GB"/>
        </w:rPr>
        <w:t>.</w:t>
      </w:r>
      <w:r w:rsidR="00B0792E" w:rsidRPr="009E654B">
        <w:rPr>
          <w:rFonts w:ascii="Arial" w:hAnsi="Arial" w:cs="Arial"/>
          <w:lang w:val="en-GB"/>
        </w:rPr>
        <w:t>7</w:t>
      </w:r>
      <w:r w:rsidR="00FD0850" w:rsidRPr="009E654B">
        <w:rPr>
          <w:rFonts w:ascii="Arial" w:hAnsi="Arial" w:cs="Arial"/>
          <w:lang w:val="en-GB"/>
        </w:rPr>
        <w:t>%), Szczecin (</w:t>
      </w:r>
      <w:r w:rsidR="00B0792E" w:rsidRPr="009E654B">
        <w:rPr>
          <w:rFonts w:ascii="Arial" w:hAnsi="Arial" w:cs="Arial"/>
          <w:lang w:val="en-GB"/>
        </w:rPr>
        <w:t>3</w:t>
      </w:r>
      <w:r w:rsidR="00112A29" w:rsidRPr="009E654B">
        <w:rPr>
          <w:rFonts w:ascii="Arial" w:hAnsi="Arial" w:cs="Arial"/>
          <w:lang w:val="en-GB"/>
        </w:rPr>
        <w:t>.</w:t>
      </w:r>
      <w:r w:rsidR="00B0792E" w:rsidRPr="009E654B">
        <w:rPr>
          <w:rFonts w:ascii="Arial" w:hAnsi="Arial" w:cs="Arial"/>
          <w:lang w:val="en-GB"/>
        </w:rPr>
        <w:t>3</w:t>
      </w:r>
      <w:r w:rsidR="00FD0850" w:rsidRPr="009E654B">
        <w:rPr>
          <w:rFonts w:ascii="Arial" w:hAnsi="Arial" w:cs="Arial"/>
          <w:lang w:val="en-GB"/>
        </w:rPr>
        <w:t xml:space="preserve">%) </w:t>
      </w:r>
      <w:r w:rsidR="00112A29" w:rsidRPr="009E654B">
        <w:rPr>
          <w:rFonts w:ascii="Arial" w:hAnsi="Arial" w:cs="Arial"/>
          <w:lang w:val="en-GB"/>
        </w:rPr>
        <w:t>and</w:t>
      </w:r>
      <w:r w:rsidR="00B0792E" w:rsidRPr="009E654B">
        <w:rPr>
          <w:rFonts w:ascii="Arial" w:hAnsi="Arial" w:cs="Arial"/>
          <w:lang w:val="en-GB"/>
        </w:rPr>
        <w:t xml:space="preserve"> Krak</w:t>
      </w:r>
      <w:r w:rsidR="61A1136F" w:rsidRPr="009E654B">
        <w:rPr>
          <w:rFonts w:ascii="Arial" w:hAnsi="Arial" w:cs="Arial"/>
          <w:lang w:val="en-GB"/>
        </w:rPr>
        <w:t>o</w:t>
      </w:r>
      <w:r w:rsidR="00B0792E" w:rsidRPr="009E654B">
        <w:rPr>
          <w:rFonts w:ascii="Arial" w:hAnsi="Arial" w:cs="Arial"/>
          <w:lang w:val="en-GB"/>
        </w:rPr>
        <w:t>w (3</w:t>
      </w:r>
      <w:r w:rsidR="00112A29" w:rsidRPr="009E654B">
        <w:rPr>
          <w:rFonts w:ascii="Arial" w:hAnsi="Arial" w:cs="Arial"/>
          <w:lang w:val="en-GB"/>
        </w:rPr>
        <w:t>.</w:t>
      </w:r>
      <w:r w:rsidR="00B0792E" w:rsidRPr="009E654B">
        <w:rPr>
          <w:rFonts w:ascii="Arial" w:hAnsi="Arial" w:cs="Arial"/>
          <w:lang w:val="en-GB"/>
        </w:rPr>
        <w:t>4</w:t>
      </w:r>
      <w:r w:rsidR="00FD0850" w:rsidRPr="009E654B">
        <w:rPr>
          <w:rFonts w:ascii="Arial" w:hAnsi="Arial" w:cs="Arial"/>
          <w:lang w:val="en-GB"/>
        </w:rPr>
        <w:t>%).</w:t>
      </w:r>
    </w:p>
    <w:p w14:paraId="13BF8ABA" w14:textId="2649DD07" w:rsidR="00117D88" w:rsidRPr="009E654B" w:rsidRDefault="00072658" w:rsidP="00D55E53">
      <w:pPr>
        <w:jc w:val="both"/>
        <w:rPr>
          <w:rFonts w:ascii="Arial" w:hAnsi="Arial" w:cs="Arial"/>
          <w:lang w:val="en-GB"/>
        </w:rPr>
      </w:pPr>
      <w:r w:rsidRPr="009E654B">
        <w:rPr>
          <w:rFonts w:ascii="Arial" w:hAnsi="Arial" w:cs="Arial"/>
          <w:lang w:val="en-GB"/>
        </w:rPr>
        <w:t xml:space="preserve">Total </w:t>
      </w:r>
      <w:r w:rsidR="00C13811" w:rsidRPr="009E654B">
        <w:rPr>
          <w:rFonts w:ascii="Arial" w:hAnsi="Arial" w:cs="Arial"/>
          <w:lang w:val="en-GB"/>
        </w:rPr>
        <w:t xml:space="preserve">industrial and logistics </w:t>
      </w:r>
      <w:r w:rsidRPr="009E654B">
        <w:rPr>
          <w:rFonts w:ascii="Arial" w:hAnsi="Arial" w:cs="Arial"/>
          <w:lang w:val="en-GB"/>
        </w:rPr>
        <w:t xml:space="preserve">availability reached </w:t>
      </w:r>
      <w:r w:rsidR="00117D88" w:rsidRPr="009E654B">
        <w:rPr>
          <w:rFonts w:ascii="Arial" w:hAnsi="Arial" w:cs="Arial"/>
          <w:lang w:val="en-GB"/>
        </w:rPr>
        <w:t>2</w:t>
      </w:r>
      <w:r w:rsidRPr="009E654B">
        <w:rPr>
          <w:rFonts w:ascii="Arial" w:hAnsi="Arial" w:cs="Arial"/>
          <w:lang w:val="en-GB"/>
        </w:rPr>
        <w:t>.</w:t>
      </w:r>
      <w:r w:rsidR="00117D88" w:rsidRPr="009E654B">
        <w:rPr>
          <w:rFonts w:ascii="Arial" w:hAnsi="Arial" w:cs="Arial"/>
          <w:lang w:val="en-GB"/>
        </w:rPr>
        <w:t>8 m</w:t>
      </w:r>
      <w:r w:rsidRPr="009E654B">
        <w:rPr>
          <w:rFonts w:ascii="Arial" w:hAnsi="Arial" w:cs="Arial"/>
          <w:lang w:val="en-GB"/>
        </w:rPr>
        <w:t>illion sqm, representing an increase of</w:t>
      </w:r>
      <w:r w:rsidR="00117D88" w:rsidRPr="009E654B">
        <w:rPr>
          <w:rFonts w:ascii="Arial" w:hAnsi="Arial" w:cs="Arial"/>
          <w:lang w:val="en-GB"/>
        </w:rPr>
        <w:t xml:space="preserve"> 0</w:t>
      </w:r>
      <w:r w:rsidRPr="009E654B">
        <w:rPr>
          <w:rFonts w:ascii="Arial" w:hAnsi="Arial" w:cs="Arial"/>
          <w:lang w:val="en-GB"/>
        </w:rPr>
        <w:t>.</w:t>
      </w:r>
      <w:r w:rsidR="00117D88" w:rsidRPr="009E654B">
        <w:rPr>
          <w:rFonts w:ascii="Arial" w:hAnsi="Arial" w:cs="Arial"/>
          <w:lang w:val="en-GB"/>
        </w:rPr>
        <w:t xml:space="preserve">3% </w:t>
      </w:r>
      <w:r w:rsidRPr="009E654B">
        <w:rPr>
          <w:rFonts w:ascii="Arial" w:hAnsi="Arial" w:cs="Arial"/>
          <w:lang w:val="en-GB"/>
        </w:rPr>
        <w:t>quarter-on-quarter and</w:t>
      </w:r>
      <w:r w:rsidR="00117D88" w:rsidRPr="009E654B">
        <w:rPr>
          <w:rFonts w:ascii="Arial" w:hAnsi="Arial" w:cs="Arial"/>
          <w:lang w:val="en-GB"/>
        </w:rPr>
        <w:t xml:space="preserve"> 5</w:t>
      </w:r>
      <w:r w:rsidRPr="009E654B">
        <w:rPr>
          <w:rFonts w:ascii="Arial" w:hAnsi="Arial" w:cs="Arial"/>
          <w:lang w:val="en-GB"/>
        </w:rPr>
        <w:t>.</w:t>
      </w:r>
      <w:r w:rsidR="00117D88" w:rsidRPr="009E654B">
        <w:rPr>
          <w:rFonts w:ascii="Arial" w:hAnsi="Arial" w:cs="Arial"/>
          <w:lang w:val="en-GB"/>
        </w:rPr>
        <w:t xml:space="preserve">8% </w:t>
      </w:r>
      <w:r w:rsidRPr="009E654B">
        <w:rPr>
          <w:rFonts w:ascii="Arial" w:hAnsi="Arial" w:cs="Arial"/>
          <w:lang w:val="en-GB"/>
        </w:rPr>
        <w:t>year-on-year</w:t>
      </w:r>
      <w:r w:rsidR="00117D88" w:rsidRPr="009E654B">
        <w:rPr>
          <w:rFonts w:ascii="Arial" w:hAnsi="Arial" w:cs="Arial"/>
          <w:lang w:val="en-GB"/>
        </w:rPr>
        <w:t xml:space="preserve">. </w:t>
      </w:r>
      <w:r w:rsidR="00C13811" w:rsidRPr="009E654B">
        <w:rPr>
          <w:rFonts w:ascii="Arial" w:hAnsi="Arial" w:cs="Arial"/>
          <w:lang w:val="en-GB"/>
        </w:rPr>
        <w:t>This volume of unoccupied space</w:t>
      </w:r>
      <w:r w:rsidR="001C62AC" w:rsidRPr="009E654B">
        <w:rPr>
          <w:rFonts w:ascii="Arial" w:hAnsi="Arial" w:cs="Arial"/>
          <w:lang w:val="en-GB"/>
        </w:rPr>
        <w:t xml:space="preserve"> undoubtedly </w:t>
      </w:r>
      <w:r w:rsidR="00E21C1B" w:rsidRPr="009E654B">
        <w:rPr>
          <w:rFonts w:ascii="Arial" w:hAnsi="Arial" w:cs="Arial"/>
          <w:lang w:val="en-GB"/>
        </w:rPr>
        <w:t>increases</w:t>
      </w:r>
      <w:r w:rsidR="001C62AC" w:rsidRPr="009E654B">
        <w:rPr>
          <w:rFonts w:ascii="Arial" w:hAnsi="Arial" w:cs="Arial"/>
          <w:lang w:val="en-GB"/>
        </w:rPr>
        <w:t xml:space="preserve"> market competition and </w:t>
      </w:r>
      <w:r w:rsidR="00E21C1B" w:rsidRPr="009E654B">
        <w:rPr>
          <w:rFonts w:ascii="Arial" w:hAnsi="Arial" w:cs="Arial"/>
          <w:lang w:val="en-GB"/>
        </w:rPr>
        <w:t xml:space="preserve">makes it easier for </w:t>
      </w:r>
      <w:r w:rsidR="004A0EEA" w:rsidRPr="009E654B">
        <w:rPr>
          <w:rFonts w:ascii="Arial" w:hAnsi="Arial" w:cs="Arial"/>
          <w:lang w:val="en-GB"/>
        </w:rPr>
        <w:t xml:space="preserve">tenants </w:t>
      </w:r>
      <w:r w:rsidR="00E21C1B" w:rsidRPr="009E654B">
        <w:rPr>
          <w:rFonts w:ascii="Arial" w:hAnsi="Arial" w:cs="Arial"/>
          <w:lang w:val="en-GB"/>
        </w:rPr>
        <w:t xml:space="preserve">to </w:t>
      </w:r>
      <w:r w:rsidR="004A0EEA" w:rsidRPr="009E654B">
        <w:rPr>
          <w:rFonts w:ascii="Arial" w:hAnsi="Arial" w:cs="Arial"/>
          <w:lang w:val="en-GB"/>
        </w:rPr>
        <w:t xml:space="preserve">find </w:t>
      </w:r>
      <w:r w:rsidR="00E21C1B" w:rsidRPr="009E654B">
        <w:rPr>
          <w:rFonts w:ascii="Arial" w:hAnsi="Arial" w:cs="Arial"/>
          <w:lang w:val="en-GB"/>
        </w:rPr>
        <w:t>suitable facilities</w:t>
      </w:r>
      <w:r w:rsidR="004A0EEA" w:rsidRPr="009E654B">
        <w:rPr>
          <w:rFonts w:ascii="Arial" w:hAnsi="Arial" w:cs="Arial"/>
          <w:lang w:val="en-GB"/>
        </w:rPr>
        <w:t>.</w:t>
      </w:r>
      <w:r w:rsidR="00681ACD" w:rsidRPr="009E654B">
        <w:rPr>
          <w:rFonts w:ascii="Arial" w:hAnsi="Arial" w:cs="Arial"/>
          <w:lang w:val="en-GB"/>
        </w:rPr>
        <w:t xml:space="preserve"> </w:t>
      </w:r>
    </w:p>
    <w:p w14:paraId="0789DED2" w14:textId="6C3EB7CB" w:rsidR="00DC14ED" w:rsidRPr="009E654B" w:rsidRDefault="00DC14ED" w:rsidP="00681ACD">
      <w:pPr>
        <w:jc w:val="both"/>
        <w:rPr>
          <w:rFonts w:ascii="Arial" w:hAnsi="Arial" w:cs="Arial"/>
          <w:lang w:val="en-GB"/>
        </w:rPr>
      </w:pPr>
      <w:r w:rsidRPr="009E654B">
        <w:rPr>
          <w:rFonts w:ascii="Arial" w:hAnsi="Arial" w:cs="Arial"/>
          <w:lang w:val="en-GB"/>
        </w:rPr>
        <w:t xml:space="preserve"> </w:t>
      </w:r>
    </w:p>
    <w:p w14:paraId="2EAEC1FC" w14:textId="77777777" w:rsidR="00F2553E" w:rsidRPr="009E654B" w:rsidRDefault="00F2553E" w:rsidP="00036B49">
      <w:pPr>
        <w:jc w:val="both"/>
        <w:rPr>
          <w:rFonts w:ascii="Arial" w:hAnsi="Arial" w:cs="Arial"/>
          <w:lang w:val="en-GB"/>
        </w:rPr>
      </w:pPr>
    </w:p>
    <w:p w14:paraId="481C3D11" w14:textId="77777777" w:rsidR="007C60C8" w:rsidRPr="009E654B" w:rsidRDefault="007C60C8" w:rsidP="00036B49">
      <w:pPr>
        <w:jc w:val="both"/>
        <w:rPr>
          <w:rFonts w:ascii="Arial" w:hAnsi="Arial" w:cs="Arial"/>
          <w:lang w:val="en-GB"/>
        </w:rPr>
      </w:pPr>
    </w:p>
    <w:p w14:paraId="3E13D319" w14:textId="51D39237" w:rsidR="00770F9C" w:rsidRPr="009E654B" w:rsidRDefault="009477E2" w:rsidP="00036B49">
      <w:pPr>
        <w:jc w:val="both"/>
        <w:rPr>
          <w:rFonts w:ascii="Arial" w:hAnsi="Arial" w:cs="Arial"/>
          <w:lang w:val="en-GB"/>
        </w:rPr>
      </w:pPr>
      <w:r w:rsidRPr="009E654B">
        <w:rPr>
          <w:noProof/>
          <w:lang w:val="en-GB"/>
        </w:rPr>
        <w:drawing>
          <wp:inline distT="0" distB="0" distL="0" distR="0" wp14:anchorId="343EF6E5" wp14:editId="4E7BB62F">
            <wp:extent cx="5760720" cy="2199005"/>
            <wp:effectExtent l="0" t="0" r="0" b="0"/>
            <wp:docPr id="1996689770" name="Obraz 2" descr="Obraz zawierający tekst, zrzut ekranu, oprogramowanie, Oprogramowanie multimedial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689770" name="Obraz 2" descr="Obraz zawierający tekst, zrzut ekranu, oprogramowanie, Oprogramowanie multimedialn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3F192" w14:textId="0A964B25" w:rsidR="00176FDA" w:rsidRPr="009E654B" w:rsidRDefault="00176FDA" w:rsidP="00036B49">
      <w:pPr>
        <w:jc w:val="both"/>
        <w:rPr>
          <w:rFonts w:ascii="Arial" w:hAnsi="Arial" w:cs="Arial"/>
          <w:lang w:val="en-GB"/>
        </w:rPr>
      </w:pPr>
      <w:r w:rsidRPr="009E654B">
        <w:rPr>
          <w:noProof/>
          <w:lang w:val="en-GB"/>
        </w:rPr>
        <w:drawing>
          <wp:inline distT="0" distB="0" distL="0" distR="0" wp14:anchorId="0AF8E768" wp14:editId="1FE62BB0">
            <wp:extent cx="5760720" cy="565150"/>
            <wp:effectExtent l="0" t="0" r="0" b="6350"/>
            <wp:docPr id="239835306" name="Obraz 3" descr="Pole tekst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le tekstow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6FDA" w:rsidRPr="009E654B" w:rsidSect="00B40516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38FB" w14:textId="77777777" w:rsidR="00B10F4D" w:rsidRDefault="00B10F4D" w:rsidP="006B472C">
      <w:pPr>
        <w:spacing w:after="0" w:line="240" w:lineRule="auto"/>
      </w:pPr>
      <w:r>
        <w:separator/>
      </w:r>
    </w:p>
  </w:endnote>
  <w:endnote w:type="continuationSeparator" w:id="0">
    <w:p w14:paraId="23A11C84" w14:textId="77777777" w:rsidR="00B10F4D" w:rsidRDefault="00B10F4D" w:rsidP="006B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77C2" w14:textId="72C488CD" w:rsidR="0087758A" w:rsidRDefault="008775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8C119C7" wp14:editId="6D5A9E8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18590" cy="357505"/>
              <wp:effectExtent l="0" t="0" r="0" b="0"/>
              <wp:wrapNone/>
              <wp:docPr id="399691538" name="Text Box 2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5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D7E16" w14:textId="1E0AEB16" w:rsidR="0087758A" w:rsidRPr="0087758A" w:rsidRDefault="0087758A" w:rsidP="008775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87758A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119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 : Internal" style="position:absolute;margin-left:60.5pt;margin-top:0;width:111.7pt;height:28.1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" filled="f" stroked="f">
              <v:textbox style="mso-fit-shape-to-text:t" inset="0,0,20pt,15pt">
                <w:txbxContent>
                  <w:p w14:paraId="5CED7E16" w14:textId="1E0AEB16" w:rsidR="0087758A" w:rsidRPr="0087758A" w:rsidRDefault="0087758A" w:rsidP="008775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87758A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2B31" w14:textId="5E50D38D" w:rsidR="00DE4EFA" w:rsidRPr="00DE4EFA" w:rsidRDefault="0087758A">
    <w:pPr>
      <w:pStyle w:val="Footer"/>
      <w:rPr>
        <w:rFonts w:ascii="Segoe UI" w:hAnsi="Segoe UI" w:cs="Segoe UI"/>
        <w:noProof/>
        <w:color w:val="000000"/>
        <w:sz w:val="12"/>
        <w:szCs w:val="12"/>
        <w:shd w:val="clear" w:color="auto" w:fill="FFFFFF"/>
      </w:rPr>
    </w:pPr>
    <w:r>
      <w:rPr>
        <w:rFonts w:ascii="Segoe UI" w:hAnsi="Segoe UI" w:cs="Segoe UI"/>
        <w:noProof/>
        <w:color w:val="000000"/>
        <w:sz w:val="12"/>
        <w:szCs w:val="1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DD0B6AA" wp14:editId="2A260863">
              <wp:simplePos x="899730" y="969166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18590" cy="357505"/>
              <wp:effectExtent l="0" t="0" r="0" b="0"/>
              <wp:wrapNone/>
              <wp:docPr id="792248749" name="Text Box 3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5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70DAD" w14:textId="11A4683D" w:rsidR="0087758A" w:rsidRPr="0087758A" w:rsidRDefault="0087758A" w:rsidP="008775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87758A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0B6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 : Internal" style="position:absolute;margin-left:60.5pt;margin-top:0;width:111.7pt;height:28.1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" filled="f" stroked="f">
              <v:textbox style="mso-fit-shape-to-text:t" inset="0,0,20pt,15pt">
                <w:txbxContent>
                  <w:p w14:paraId="08070DAD" w14:textId="11A4683D" w:rsidR="0087758A" w:rsidRPr="0087758A" w:rsidRDefault="0087758A" w:rsidP="008775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87758A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4EFA">
      <w:rPr>
        <w:rStyle w:val="wacimagecontainer"/>
        <w:rFonts w:ascii="Segoe UI" w:hAnsi="Segoe UI" w:cs="Segoe UI"/>
        <w:noProof/>
        <w:color w:val="000000"/>
        <w:sz w:val="12"/>
        <w:szCs w:val="12"/>
      </w:rPr>
      <w:t xml:space="preserve"> </w:t>
    </w:r>
    <w:r w:rsidR="00DE4EFA">
      <w:rPr>
        <w:rStyle w:val="wacimagecontainer"/>
        <w:rFonts w:ascii="Segoe UI" w:hAnsi="Segoe UI" w:cs="Segoe UI"/>
        <w:noProof/>
        <w:color w:val="000000"/>
        <w:sz w:val="12"/>
        <w:szCs w:val="12"/>
      </w:rPr>
      <w:drawing>
        <wp:inline distT="0" distB="0" distL="0" distR="0" wp14:anchorId="2BA25DB4" wp14:editId="319C113B">
          <wp:extent cx="2636520" cy="502920"/>
          <wp:effectExtent l="0" t="0" r="0" b="0"/>
          <wp:docPr id="866661979" name="Obraz 8" descr="Obraz zawierający Czcionka, tekst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661979" name="Obraz 8" descr="Obraz zawierający Czcionka, tekst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4EFA">
      <w:rPr>
        <w:rStyle w:val="wacimagecontainer"/>
        <w:rFonts w:ascii="Segoe UI" w:hAnsi="Segoe UI" w:cs="Segoe UI"/>
        <w:noProof/>
        <w:color w:val="000000"/>
        <w:sz w:val="12"/>
        <w:szCs w:val="12"/>
        <w:shd w:val="clear" w:color="auto" w:fill="FFFFFF"/>
      </w:rPr>
      <w:t xml:space="preserve">                                                                                              </w:t>
    </w:r>
    <w:r w:rsidR="00DE4EFA">
      <w:rPr>
        <w:rStyle w:val="wacimagecontainer"/>
        <w:rFonts w:ascii="Segoe UI" w:hAnsi="Segoe UI" w:cs="Segoe UI"/>
        <w:noProof/>
        <w:color w:val="000000"/>
        <w:sz w:val="12"/>
        <w:szCs w:val="12"/>
        <w:shd w:val="clear" w:color="auto" w:fill="FFFFFF"/>
      </w:rPr>
      <w:drawing>
        <wp:inline distT="0" distB="0" distL="0" distR="0" wp14:anchorId="6B966339" wp14:editId="0D27E26E">
          <wp:extent cx="1127760" cy="541020"/>
          <wp:effectExtent l="0" t="0" r="0" b="0"/>
          <wp:docPr id="1796209254" name="Obraz 9" descr="Obraz zawierający tekst, narzędzie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209254" name="Obraz 9" descr="Obraz zawierający tekst, narzędzie, design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44" b="20176"/>
                  <a:stretch/>
                </pic:blipFill>
                <pic:spPr bwMode="auto">
                  <a:xfrm>
                    <a:off x="0" y="0"/>
                    <a:ext cx="11277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7798765" w14:textId="44CDF678" w:rsidR="006B472C" w:rsidRPr="006B472C" w:rsidRDefault="006B472C" w:rsidP="006B4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5FFE" w14:textId="728C4422" w:rsidR="0087758A" w:rsidRDefault="008775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1EBE82" wp14:editId="519230A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18590" cy="357505"/>
              <wp:effectExtent l="0" t="0" r="0" b="0"/>
              <wp:wrapNone/>
              <wp:docPr id="577920066" name="Text Box 1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5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EA14C" w14:textId="575EDB0B" w:rsidR="0087758A" w:rsidRPr="0087758A" w:rsidRDefault="0087758A" w:rsidP="008775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87758A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EBE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 : Internal" style="position:absolute;margin-left:60.5pt;margin-top:0;width:111.7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" filled="f" stroked="f">
              <v:textbox style="mso-fit-shape-to-text:t" inset="0,0,20pt,15pt">
                <w:txbxContent>
                  <w:p w14:paraId="665EA14C" w14:textId="575EDB0B" w:rsidR="0087758A" w:rsidRPr="0087758A" w:rsidRDefault="0087758A" w:rsidP="008775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87758A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5411" w14:textId="77777777" w:rsidR="00B10F4D" w:rsidRDefault="00B10F4D" w:rsidP="006B472C">
      <w:pPr>
        <w:spacing w:after="0" w:line="240" w:lineRule="auto"/>
      </w:pPr>
      <w:r>
        <w:separator/>
      </w:r>
    </w:p>
  </w:footnote>
  <w:footnote w:type="continuationSeparator" w:id="0">
    <w:p w14:paraId="2DFA2489" w14:textId="77777777" w:rsidR="00B10F4D" w:rsidRDefault="00B10F4D" w:rsidP="006B4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C7206" w14:textId="030A3D20" w:rsidR="006B472C" w:rsidRDefault="006B472C">
    <w:pPr>
      <w:pStyle w:val="Header"/>
    </w:pPr>
  </w:p>
  <w:p w14:paraId="344F47CC" w14:textId="77777777" w:rsidR="006B472C" w:rsidRDefault="006B47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48"/>
    <w:rsid w:val="00002D3C"/>
    <w:rsid w:val="0001105B"/>
    <w:rsid w:val="00016324"/>
    <w:rsid w:val="00027A18"/>
    <w:rsid w:val="00033EB7"/>
    <w:rsid w:val="00036B49"/>
    <w:rsid w:val="000375F3"/>
    <w:rsid w:val="00037833"/>
    <w:rsid w:val="000449F2"/>
    <w:rsid w:val="0005360E"/>
    <w:rsid w:val="00054E23"/>
    <w:rsid w:val="000650AE"/>
    <w:rsid w:val="00072658"/>
    <w:rsid w:val="0008639D"/>
    <w:rsid w:val="00087FAA"/>
    <w:rsid w:val="0009728C"/>
    <w:rsid w:val="000974F0"/>
    <w:rsid w:val="000A7D20"/>
    <w:rsid w:val="000B32C2"/>
    <w:rsid w:val="000B546E"/>
    <w:rsid w:val="000B5B91"/>
    <w:rsid w:val="000F130F"/>
    <w:rsid w:val="000F1F54"/>
    <w:rsid w:val="00100274"/>
    <w:rsid w:val="001041D2"/>
    <w:rsid w:val="001078DA"/>
    <w:rsid w:val="001119C7"/>
    <w:rsid w:val="00112A29"/>
    <w:rsid w:val="00114635"/>
    <w:rsid w:val="00117D88"/>
    <w:rsid w:val="0012555B"/>
    <w:rsid w:val="00125602"/>
    <w:rsid w:val="00131C9C"/>
    <w:rsid w:val="0013530B"/>
    <w:rsid w:val="0013660F"/>
    <w:rsid w:val="00146DC3"/>
    <w:rsid w:val="00163A89"/>
    <w:rsid w:val="00164370"/>
    <w:rsid w:val="0016482C"/>
    <w:rsid w:val="0016648A"/>
    <w:rsid w:val="00176E9B"/>
    <w:rsid w:val="00176FDA"/>
    <w:rsid w:val="001807A7"/>
    <w:rsid w:val="0019690B"/>
    <w:rsid w:val="001A0130"/>
    <w:rsid w:val="001A320B"/>
    <w:rsid w:val="001A58BB"/>
    <w:rsid w:val="001A5F3C"/>
    <w:rsid w:val="001A6386"/>
    <w:rsid w:val="001C30F8"/>
    <w:rsid w:val="001C5456"/>
    <w:rsid w:val="001C559A"/>
    <w:rsid w:val="001C62AC"/>
    <w:rsid w:val="001C6B0F"/>
    <w:rsid w:val="001D4323"/>
    <w:rsid w:val="001D4362"/>
    <w:rsid w:val="001E570F"/>
    <w:rsid w:val="001E5821"/>
    <w:rsid w:val="001F4D6D"/>
    <w:rsid w:val="0020074C"/>
    <w:rsid w:val="00202787"/>
    <w:rsid w:val="002221B8"/>
    <w:rsid w:val="002241DE"/>
    <w:rsid w:val="0022455C"/>
    <w:rsid w:val="00232559"/>
    <w:rsid w:val="00234055"/>
    <w:rsid w:val="00240DC3"/>
    <w:rsid w:val="002448DE"/>
    <w:rsid w:val="00246682"/>
    <w:rsid w:val="0025069E"/>
    <w:rsid w:val="002552A8"/>
    <w:rsid w:val="00263A41"/>
    <w:rsid w:val="00286C46"/>
    <w:rsid w:val="002B4B82"/>
    <w:rsid w:val="002C076D"/>
    <w:rsid w:val="002C4BC4"/>
    <w:rsid w:val="002E3324"/>
    <w:rsid w:val="002F419D"/>
    <w:rsid w:val="002F5C15"/>
    <w:rsid w:val="002F7AE2"/>
    <w:rsid w:val="00306625"/>
    <w:rsid w:val="00306E56"/>
    <w:rsid w:val="00310DD5"/>
    <w:rsid w:val="003174C8"/>
    <w:rsid w:val="00342AD0"/>
    <w:rsid w:val="00353C9C"/>
    <w:rsid w:val="00357314"/>
    <w:rsid w:val="00366551"/>
    <w:rsid w:val="00373465"/>
    <w:rsid w:val="003759D0"/>
    <w:rsid w:val="00380197"/>
    <w:rsid w:val="00382AC0"/>
    <w:rsid w:val="0039156D"/>
    <w:rsid w:val="003918F0"/>
    <w:rsid w:val="00392A9F"/>
    <w:rsid w:val="003A2F91"/>
    <w:rsid w:val="003A5CE5"/>
    <w:rsid w:val="003C0D94"/>
    <w:rsid w:val="003C17F3"/>
    <w:rsid w:val="003C6BAD"/>
    <w:rsid w:val="003C75AC"/>
    <w:rsid w:val="003E16D7"/>
    <w:rsid w:val="003E27D5"/>
    <w:rsid w:val="003E2A45"/>
    <w:rsid w:val="003E6912"/>
    <w:rsid w:val="00401812"/>
    <w:rsid w:val="00414CE9"/>
    <w:rsid w:val="0042551C"/>
    <w:rsid w:val="00426C42"/>
    <w:rsid w:val="00456D6B"/>
    <w:rsid w:val="00456EEA"/>
    <w:rsid w:val="00457B73"/>
    <w:rsid w:val="004634C1"/>
    <w:rsid w:val="00466DF2"/>
    <w:rsid w:val="004678A7"/>
    <w:rsid w:val="00467F3D"/>
    <w:rsid w:val="00470BA6"/>
    <w:rsid w:val="0047463F"/>
    <w:rsid w:val="0047564C"/>
    <w:rsid w:val="004821B9"/>
    <w:rsid w:val="0048444D"/>
    <w:rsid w:val="00491EE2"/>
    <w:rsid w:val="004A0EEA"/>
    <w:rsid w:val="004A117E"/>
    <w:rsid w:val="004B2943"/>
    <w:rsid w:val="004B2D8E"/>
    <w:rsid w:val="004C7649"/>
    <w:rsid w:val="004E47AF"/>
    <w:rsid w:val="004E5355"/>
    <w:rsid w:val="004F1AB3"/>
    <w:rsid w:val="004F32AF"/>
    <w:rsid w:val="004F7886"/>
    <w:rsid w:val="00503F8C"/>
    <w:rsid w:val="00506F01"/>
    <w:rsid w:val="00516BCA"/>
    <w:rsid w:val="00516D67"/>
    <w:rsid w:val="005325DF"/>
    <w:rsid w:val="00555B30"/>
    <w:rsid w:val="0056117D"/>
    <w:rsid w:val="005642C8"/>
    <w:rsid w:val="0056582A"/>
    <w:rsid w:val="0058538A"/>
    <w:rsid w:val="00587198"/>
    <w:rsid w:val="005954D2"/>
    <w:rsid w:val="00597104"/>
    <w:rsid w:val="005A4C12"/>
    <w:rsid w:val="005A7D48"/>
    <w:rsid w:val="005C4F71"/>
    <w:rsid w:val="005D095E"/>
    <w:rsid w:val="005D6BB2"/>
    <w:rsid w:val="005E2B09"/>
    <w:rsid w:val="005E4E04"/>
    <w:rsid w:val="005E7365"/>
    <w:rsid w:val="005F6026"/>
    <w:rsid w:val="006036F0"/>
    <w:rsid w:val="00604445"/>
    <w:rsid w:val="00627B90"/>
    <w:rsid w:val="00632F5B"/>
    <w:rsid w:val="00634DA9"/>
    <w:rsid w:val="00640318"/>
    <w:rsid w:val="006508CA"/>
    <w:rsid w:val="006526F2"/>
    <w:rsid w:val="00681659"/>
    <w:rsid w:val="00681ACD"/>
    <w:rsid w:val="006862E9"/>
    <w:rsid w:val="006937D7"/>
    <w:rsid w:val="006A5C06"/>
    <w:rsid w:val="006B472C"/>
    <w:rsid w:val="006D05BD"/>
    <w:rsid w:val="006D0FB9"/>
    <w:rsid w:val="006D2010"/>
    <w:rsid w:val="006D4380"/>
    <w:rsid w:val="006D6B1B"/>
    <w:rsid w:val="006E0105"/>
    <w:rsid w:val="006E791C"/>
    <w:rsid w:val="006F663E"/>
    <w:rsid w:val="00703E9E"/>
    <w:rsid w:val="00715D58"/>
    <w:rsid w:val="00724304"/>
    <w:rsid w:val="007262D6"/>
    <w:rsid w:val="00730B59"/>
    <w:rsid w:val="00733B1F"/>
    <w:rsid w:val="00735447"/>
    <w:rsid w:val="00752E56"/>
    <w:rsid w:val="00753BE9"/>
    <w:rsid w:val="007551C7"/>
    <w:rsid w:val="007660B2"/>
    <w:rsid w:val="00770F9C"/>
    <w:rsid w:val="00780C3D"/>
    <w:rsid w:val="0079440A"/>
    <w:rsid w:val="00794F8A"/>
    <w:rsid w:val="007A02D0"/>
    <w:rsid w:val="007A1797"/>
    <w:rsid w:val="007B2EAC"/>
    <w:rsid w:val="007B569D"/>
    <w:rsid w:val="007C147A"/>
    <w:rsid w:val="007C1FE6"/>
    <w:rsid w:val="007C4DE0"/>
    <w:rsid w:val="007C60C8"/>
    <w:rsid w:val="007C69C2"/>
    <w:rsid w:val="007F2461"/>
    <w:rsid w:val="0080623C"/>
    <w:rsid w:val="00811999"/>
    <w:rsid w:val="00814387"/>
    <w:rsid w:val="0081664D"/>
    <w:rsid w:val="00821ADD"/>
    <w:rsid w:val="0082556C"/>
    <w:rsid w:val="00833F26"/>
    <w:rsid w:val="00836C9B"/>
    <w:rsid w:val="00850BF8"/>
    <w:rsid w:val="00851B57"/>
    <w:rsid w:val="00854C76"/>
    <w:rsid w:val="00854F90"/>
    <w:rsid w:val="00864173"/>
    <w:rsid w:val="00867DD8"/>
    <w:rsid w:val="0087758A"/>
    <w:rsid w:val="00890757"/>
    <w:rsid w:val="00891163"/>
    <w:rsid w:val="00896377"/>
    <w:rsid w:val="008A2458"/>
    <w:rsid w:val="008A40C0"/>
    <w:rsid w:val="008A4E34"/>
    <w:rsid w:val="008B2A37"/>
    <w:rsid w:val="008D0733"/>
    <w:rsid w:val="008D4DAD"/>
    <w:rsid w:val="008D5495"/>
    <w:rsid w:val="008F3FA0"/>
    <w:rsid w:val="0090165B"/>
    <w:rsid w:val="009058CF"/>
    <w:rsid w:val="00907EDE"/>
    <w:rsid w:val="00912C81"/>
    <w:rsid w:val="00915D6C"/>
    <w:rsid w:val="00921C00"/>
    <w:rsid w:val="009254A1"/>
    <w:rsid w:val="009327DE"/>
    <w:rsid w:val="009360FD"/>
    <w:rsid w:val="009477E2"/>
    <w:rsid w:val="0096086D"/>
    <w:rsid w:val="00970FA0"/>
    <w:rsid w:val="00971278"/>
    <w:rsid w:val="00975454"/>
    <w:rsid w:val="0097619F"/>
    <w:rsid w:val="0097789A"/>
    <w:rsid w:val="00990D79"/>
    <w:rsid w:val="00991AB1"/>
    <w:rsid w:val="00991DDD"/>
    <w:rsid w:val="00992DA3"/>
    <w:rsid w:val="009B024F"/>
    <w:rsid w:val="009B326B"/>
    <w:rsid w:val="009C1B49"/>
    <w:rsid w:val="009D0C78"/>
    <w:rsid w:val="009D5DA4"/>
    <w:rsid w:val="009D6D4F"/>
    <w:rsid w:val="009E654B"/>
    <w:rsid w:val="009E747C"/>
    <w:rsid w:val="009F05A2"/>
    <w:rsid w:val="009F1DFF"/>
    <w:rsid w:val="009F419A"/>
    <w:rsid w:val="009F536F"/>
    <w:rsid w:val="00A00040"/>
    <w:rsid w:val="00A12E8B"/>
    <w:rsid w:val="00A32F7B"/>
    <w:rsid w:val="00A45377"/>
    <w:rsid w:val="00A60411"/>
    <w:rsid w:val="00A62BC0"/>
    <w:rsid w:val="00A636F6"/>
    <w:rsid w:val="00A70839"/>
    <w:rsid w:val="00A86E52"/>
    <w:rsid w:val="00AB153C"/>
    <w:rsid w:val="00AB3AF0"/>
    <w:rsid w:val="00AC5578"/>
    <w:rsid w:val="00AC69F6"/>
    <w:rsid w:val="00AE0263"/>
    <w:rsid w:val="00AE6703"/>
    <w:rsid w:val="00AF0EC6"/>
    <w:rsid w:val="00AF6689"/>
    <w:rsid w:val="00B009B9"/>
    <w:rsid w:val="00B0187C"/>
    <w:rsid w:val="00B02AE3"/>
    <w:rsid w:val="00B048A1"/>
    <w:rsid w:val="00B07661"/>
    <w:rsid w:val="00B0792E"/>
    <w:rsid w:val="00B10F4D"/>
    <w:rsid w:val="00B12222"/>
    <w:rsid w:val="00B13ABE"/>
    <w:rsid w:val="00B14FDD"/>
    <w:rsid w:val="00B35151"/>
    <w:rsid w:val="00B3603D"/>
    <w:rsid w:val="00B40516"/>
    <w:rsid w:val="00B421A4"/>
    <w:rsid w:val="00B50F14"/>
    <w:rsid w:val="00B6191A"/>
    <w:rsid w:val="00B61BD8"/>
    <w:rsid w:val="00B639DA"/>
    <w:rsid w:val="00B7661A"/>
    <w:rsid w:val="00B86849"/>
    <w:rsid w:val="00B8721D"/>
    <w:rsid w:val="00B9205D"/>
    <w:rsid w:val="00B941BA"/>
    <w:rsid w:val="00B950E4"/>
    <w:rsid w:val="00BA387D"/>
    <w:rsid w:val="00BB1237"/>
    <w:rsid w:val="00BB3078"/>
    <w:rsid w:val="00BB620F"/>
    <w:rsid w:val="00BB7549"/>
    <w:rsid w:val="00BC2C04"/>
    <w:rsid w:val="00BC4F56"/>
    <w:rsid w:val="00BC5E23"/>
    <w:rsid w:val="00BC6BB8"/>
    <w:rsid w:val="00BD62D9"/>
    <w:rsid w:val="00BE4F79"/>
    <w:rsid w:val="00BF076F"/>
    <w:rsid w:val="00BF2613"/>
    <w:rsid w:val="00C13811"/>
    <w:rsid w:val="00C14924"/>
    <w:rsid w:val="00C150DA"/>
    <w:rsid w:val="00C161AD"/>
    <w:rsid w:val="00C17F5B"/>
    <w:rsid w:val="00C221DA"/>
    <w:rsid w:val="00C23838"/>
    <w:rsid w:val="00C264FD"/>
    <w:rsid w:val="00C31C0F"/>
    <w:rsid w:val="00C428F6"/>
    <w:rsid w:val="00C42FAB"/>
    <w:rsid w:val="00C45A12"/>
    <w:rsid w:val="00C51520"/>
    <w:rsid w:val="00C56D9E"/>
    <w:rsid w:val="00C80616"/>
    <w:rsid w:val="00C916A8"/>
    <w:rsid w:val="00C92225"/>
    <w:rsid w:val="00C95DE7"/>
    <w:rsid w:val="00C96833"/>
    <w:rsid w:val="00CA085F"/>
    <w:rsid w:val="00CA2C5B"/>
    <w:rsid w:val="00CB0D38"/>
    <w:rsid w:val="00CB13B9"/>
    <w:rsid w:val="00CB3450"/>
    <w:rsid w:val="00CB6184"/>
    <w:rsid w:val="00CB6F82"/>
    <w:rsid w:val="00CC0081"/>
    <w:rsid w:val="00CC42F1"/>
    <w:rsid w:val="00CC7341"/>
    <w:rsid w:val="00CD13E6"/>
    <w:rsid w:val="00CD25DB"/>
    <w:rsid w:val="00CD5AE3"/>
    <w:rsid w:val="00CE0782"/>
    <w:rsid w:val="00CE2D0C"/>
    <w:rsid w:val="00CF4B2F"/>
    <w:rsid w:val="00CF61B3"/>
    <w:rsid w:val="00D05CB9"/>
    <w:rsid w:val="00D1029D"/>
    <w:rsid w:val="00D10EA2"/>
    <w:rsid w:val="00D13A0E"/>
    <w:rsid w:val="00D21869"/>
    <w:rsid w:val="00D21FE4"/>
    <w:rsid w:val="00D25AED"/>
    <w:rsid w:val="00D3435B"/>
    <w:rsid w:val="00D351D3"/>
    <w:rsid w:val="00D379E5"/>
    <w:rsid w:val="00D4737A"/>
    <w:rsid w:val="00D47A6C"/>
    <w:rsid w:val="00D51512"/>
    <w:rsid w:val="00D55E53"/>
    <w:rsid w:val="00D56E6D"/>
    <w:rsid w:val="00D63DD6"/>
    <w:rsid w:val="00D64812"/>
    <w:rsid w:val="00D76F49"/>
    <w:rsid w:val="00D8291D"/>
    <w:rsid w:val="00D95D2E"/>
    <w:rsid w:val="00DA2148"/>
    <w:rsid w:val="00DA45F8"/>
    <w:rsid w:val="00DB084A"/>
    <w:rsid w:val="00DC14ED"/>
    <w:rsid w:val="00DD2F59"/>
    <w:rsid w:val="00DD6692"/>
    <w:rsid w:val="00DD7915"/>
    <w:rsid w:val="00DE4EFA"/>
    <w:rsid w:val="00DF03E7"/>
    <w:rsid w:val="00DF114D"/>
    <w:rsid w:val="00DF145A"/>
    <w:rsid w:val="00DF331E"/>
    <w:rsid w:val="00E04772"/>
    <w:rsid w:val="00E04CDC"/>
    <w:rsid w:val="00E07835"/>
    <w:rsid w:val="00E13E6F"/>
    <w:rsid w:val="00E149E8"/>
    <w:rsid w:val="00E178C6"/>
    <w:rsid w:val="00E21C1B"/>
    <w:rsid w:val="00E34F45"/>
    <w:rsid w:val="00E36922"/>
    <w:rsid w:val="00E4089C"/>
    <w:rsid w:val="00E4195F"/>
    <w:rsid w:val="00E557E9"/>
    <w:rsid w:val="00E77533"/>
    <w:rsid w:val="00E85C5D"/>
    <w:rsid w:val="00EA120B"/>
    <w:rsid w:val="00EA426C"/>
    <w:rsid w:val="00EA6B65"/>
    <w:rsid w:val="00EB31A0"/>
    <w:rsid w:val="00EB53E8"/>
    <w:rsid w:val="00EB585A"/>
    <w:rsid w:val="00EB63DC"/>
    <w:rsid w:val="00EC0C23"/>
    <w:rsid w:val="00EC5269"/>
    <w:rsid w:val="00EC7F84"/>
    <w:rsid w:val="00ED30F5"/>
    <w:rsid w:val="00EF1076"/>
    <w:rsid w:val="00EF40FE"/>
    <w:rsid w:val="00F022EC"/>
    <w:rsid w:val="00F14FF9"/>
    <w:rsid w:val="00F2553E"/>
    <w:rsid w:val="00F26B6C"/>
    <w:rsid w:val="00F314A3"/>
    <w:rsid w:val="00F35121"/>
    <w:rsid w:val="00F36CBA"/>
    <w:rsid w:val="00F432BA"/>
    <w:rsid w:val="00F45418"/>
    <w:rsid w:val="00F65FCB"/>
    <w:rsid w:val="00F679C6"/>
    <w:rsid w:val="00F8483E"/>
    <w:rsid w:val="00F869C1"/>
    <w:rsid w:val="00F97BBE"/>
    <w:rsid w:val="00FA020F"/>
    <w:rsid w:val="00FA23B0"/>
    <w:rsid w:val="00FA7D65"/>
    <w:rsid w:val="00FB0275"/>
    <w:rsid w:val="00FB1C54"/>
    <w:rsid w:val="00FD0850"/>
    <w:rsid w:val="00FD1804"/>
    <w:rsid w:val="00FD7BF4"/>
    <w:rsid w:val="00FE22A0"/>
    <w:rsid w:val="00FF4460"/>
    <w:rsid w:val="00FF5C5D"/>
    <w:rsid w:val="05A48EF0"/>
    <w:rsid w:val="06B10939"/>
    <w:rsid w:val="070CB681"/>
    <w:rsid w:val="0BAFAE89"/>
    <w:rsid w:val="0DDE9AC5"/>
    <w:rsid w:val="11F9E41B"/>
    <w:rsid w:val="15B0461B"/>
    <w:rsid w:val="1B223C0F"/>
    <w:rsid w:val="1DD301FF"/>
    <w:rsid w:val="2008ED7E"/>
    <w:rsid w:val="2108D2A9"/>
    <w:rsid w:val="298B361C"/>
    <w:rsid w:val="29A06BB7"/>
    <w:rsid w:val="2F90EBE1"/>
    <w:rsid w:val="37E18340"/>
    <w:rsid w:val="38069709"/>
    <w:rsid w:val="393ABF65"/>
    <w:rsid w:val="39B08C08"/>
    <w:rsid w:val="3DEF4193"/>
    <w:rsid w:val="40576F79"/>
    <w:rsid w:val="42A26D47"/>
    <w:rsid w:val="4397B7B2"/>
    <w:rsid w:val="469837FB"/>
    <w:rsid w:val="46986D2A"/>
    <w:rsid w:val="48D15812"/>
    <w:rsid w:val="49958B06"/>
    <w:rsid w:val="4A881A59"/>
    <w:rsid w:val="4F57BF2F"/>
    <w:rsid w:val="568FF0DE"/>
    <w:rsid w:val="576BBF2E"/>
    <w:rsid w:val="57B87C3C"/>
    <w:rsid w:val="5959F6CE"/>
    <w:rsid w:val="5995C9F6"/>
    <w:rsid w:val="59F1A653"/>
    <w:rsid w:val="5B3B6461"/>
    <w:rsid w:val="5C77711B"/>
    <w:rsid w:val="61A1136F"/>
    <w:rsid w:val="69627EA3"/>
    <w:rsid w:val="69A66FF4"/>
    <w:rsid w:val="71993127"/>
    <w:rsid w:val="72EB9919"/>
    <w:rsid w:val="756A8180"/>
    <w:rsid w:val="77B45DC3"/>
    <w:rsid w:val="7B3D7831"/>
    <w:rsid w:val="7DD4F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5EEBF"/>
  <w15:chartTrackingRefBased/>
  <w15:docId w15:val="{8AF14370-0035-48C9-BC3E-EE44980E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F61B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D76F49"/>
  </w:style>
  <w:style w:type="character" w:customStyle="1" w:styleId="eop">
    <w:name w:val="eop"/>
    <w:basedOn w:val="DefaultParagraphFont"/>
    <w:rsid w:val="00D76F49"/>
  </w:style>
  <w:style w:type="paragraph" w:styleId="Header">
    <w:name w:val="header"/>
    <w:basedOn w:val="Normal"/>
    <w:link w:val="HeaderChar"/>
    <w:uiPriority w:val="99"/>
    <w:unhideWhenUsed/>
    <w:rsid w:val="006B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72C"/>
  </w:style>
  <w:style w:type="paragraph" w:styleId="Footer">
    <w:name w:val="footer"/>
    <w:basedOn w:val="Normal"/>
    <w:link w:val="FooterChar"/>
    <w:uiPriority w:val="99"/>
    <w:unhideWhenUsed/>
    <w:rsid w:val="006B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72C"/>
  </w:style>
  <w:style w:type="character" w:customStyle="1" w:styleId="wacimagecontainer">
    <w:name w:val="wacimagecontainer"/>
    <w:basedOn w:val="DefaultParagraphFont"/>
    <w:rsid w:val="006B472C"/>
  </w:style>
  <w:style w:type="paragraph" w:styleId="NormalWeb">
    <w:name w:val="Normal (Web)"/>
    <w:basedOn w:val="Normal"/>
    <w:uiPriority w:val="99"/>
    <w:semiHidden/>
    <w:unhideWhenUsed/>
    <w:rsid w:val="00EB6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6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3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3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3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354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275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852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018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5841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6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3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3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92B74DE88A04B8B59D7C6E1CF21DA" ma:contentTypeVersion="13" ma:contentTypeDescription="Utwórz nowy dokument." ma:contentTypeScope="" ma:versionID="d6087ab07d589ad3013f2dbf30ce21cd">
  <xsd:schema xmlns:xsd="http://www.w3.org/2001/XMLSchema" xmlns:xs="http://www.w3.org/2001/XMLSchema" xmlns:p="http://schemas.microsoft.com/office/2006/metadata/properties" xmlns:ns2="2e230dca-0cd0-43dc-a2ef-c97d32cd25e2" xmlns:ns3="db2df73f-c36a-4763-b158-b44f2135c319" targetNamespace="http://schemas.microsoft.com/office/2006/metadata/properties" ma:root="true" ma:fieldsID="bf626fbc7aba2a18049c108a35177f65" ns2:_="" ns3:_="">
    <xsd:import namespace="2e230dca-0cd0-43dc-a2ef-c97d32cd25e2"/>
    <xsd:import namespace="db2df73f-c36a-4763-b158-b44f2135c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0dca-0cd0-43dc-a2ef-c97d32cd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df73f-c36a-4763-b158-b44f2135c3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479cf4-cc41-4a28-9253-c5622a1b090d}" ma:internalName="TaxCatchAll" ma:showField="CatchAllData" ma:web="db2df73f-c36a-4763-b158-b44f2135c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230dca-0cd0-43dc-a2ef-c97d32cd25e2">
      <Terms xmlns="http://schemas.microsoft.com/office/infopath/2007/PartnerControls"/>
    </lcf76f155ced4ddcb4097134ff3c332f>
    <TaxCatchAll xmlns="db2df73f-c36a-4763-b158-b44f2135c319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CF9DE3-3D0C-478B-A0B8-EE7DD27AE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30dca-0cd0-43dc-a2ef-c97d32cd25e2"/>
    <ds:schemaRef ds:uri="db2df73f-c36a-4763-b158-b44f2135c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A8761A-EC95-406D-B48B-D2BEA6075893}">
  <ds:schemaRefs>
    <ds:schemaRef ds:uri="http://schemas.microsoft.com/office/2006/metadata/properties"/>
    <ds:schemaRef ds:uri="http://schemas.microsoft.com/office/infopath/2007/PartnerControls"/>
    <ds:schemaRef ds:uri="2e230dca-0cd0-43dc-a2ef-c97d32cd25e2"/>
    <ds:schemaRef ds:uri="db2df73f-c36a-4763-b158-b44f2135c319"/>
  </ds:schemaRefs>
</ds:datastoreItem>
</file>

<file path=customXml/itemProps3.xml><?xml version="1.0" encoding="utf-8"?>
<ds:datastoreItem xmlns:ds="http://schemas.openxmlformats.org/officeDocument/2006/customXml" ds:itemID="{FBD026E1-C0D0-4209-B720-7FC1557F8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787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Grandys-Kil</dc:creator>
  <cp:keywords/>
  <dc:description/>
  <cp:lastModifiedBy>Tomasz GARDZIEWICZ</cp:lastModifiedBy>
  <cp:revision>2</cp:revision>
  <dcterms:created xsi:type="dcterms:W3CDTF">2025-09-29T13:07:00Z</dcterms:created>
  <dcterms:modified xsi:type="dcterms:W3CDTF">2025-09-29T13:07:00Z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0x01010039C92B74DE88A04B8B59D7C6E1CF21DA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22725c42,17d2cf12,2f38c1ad</vt:lpwstr>
  </property>
  <property fmtid="{D5CDD505-2E9C-101B-9397-08002B2CF9AE}" pid="5" name="ClassificationContentMarkingFooterFontProps">
    <vt:lpwstr>#0078d7,10,Calibri</vt:lpwstr>
  </property>
  <property fmtid="{D5CDD505-2E9C-101B-9397-08002B2CF9AE}" pid="6" name="ClassificationContentMarkingFooterText">
    <vt:lpwstr>Classification : Internal</vt:lpwstr>
  </property>
  <property fmtid="{D5CDD505-2E9C-101B-9397-08002B2CF9AE}" pid="7" name="MSIP_Label_8ffbc0b8-e97b-47d1-beac-cb0955d66f3b_Enabled">
    <vt:lpwstr>true</vt:lpwstr>
  </property>
  <property fmtid="{D5CDD505-2E9C-101B-9397-08002B2CF9AE}" pid="8" name="MSIP_Label_8ffbc0b8-e97b-47d1-beac-cb0955d66f3b_SetDate">
    <vt:lpwstr>2025-09-05T12:35:55Z</vt:lpwstr>
  </property>
  <property fmtid="{D5CDD505-2E9C-101B-9397-08002B2CF9AE}" pid="9" name="MSIP_Label_8ffbc0b8-e97b-47d1-beac-cb0955d66f3b_Method">
    <vt:lpwstr>Privileged</vt:lpwstr>
  </property>
  <property fmtid="{D5CDD505-2E9C-101B-9397-08002B2CF9AE}" pid="10" name="MSIP_Label_8ffbc0b8-e97b-47d1-beac-cb0955d66f3b_Name">
    <vt:lpwstr>8ffbc0b8-e97b-47d1-beac-cb0955d66f3b</vt:lpwstr>
  </property>
  <property fmtid="{D5CDD505-2E9C-101B-9397-08002B2CF9AE}" pid="11" name="MSIP_Label_8ffbc0b8-e97b-47d1-beac-cb0955d66f3b_SiteId">
    <vt:lpwstr>614f9c25-bffa-42c7-86d8-964101f55fa2</vt:lpwstr>
  </property>
  <property fmtid="{D5CDD505-2E9C-101B-9397-08002B2CF9AE}" pid="12" name="MSIP_Label_8ffbc0b8-e97b-47d1-beac-cb0955d66f3b_ActionId">
    <vt:lpwstr>ca98e798-5e06-4977-9ce8-4ac33aad2068</vt:lpwstr>
  </property>
  <property fmtid="{D5CDD505-2E9C-101B-9397-08002B2CF9AE}" pid="13" name="MSIP_Label_8ffbc0b8-e97b-47d1-beac-cb0955d66f3b_ContentBits">
    <vt:lpwstr>2</vt:lpwstr>
  </property>
  <property fmtid="{D5CDD505-2E9C-101B-9397-08002B2CF9AE}" pid="14" name="MSIP_Label_8ffbc0b8-e97b-47d1-beac-cb0955d66f3b_Tag">
    <vt:lpwstr>10, 0, 1, 1</vt:lpwstr>
  </property>
</Properties>
</file>