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56592" w14:textId="311D610D" w:rsidR="000627B3" w:rsidRPr="000627B3" w:rsidRDefault="00D969DE" w:rsidP="00036B49">
      <w:pPr>
        <w:jc w:val="both"/>
        <w:rPr>
          <w:rFonts w:ascii="Arial" w:hAnsi="Arial" w:cs="Arial"/>
          <w:noProof/>
        </w:rPr>
      </w:pPr>
      <w:r>
        <w:rPr>
          <w:rFonts w:ascii="Arial" w:hAnsi="Arial" w:cs="Arial"/>
          <w:noProof/>
        </w:rPr>
        <w:t xml:space="preserve">Warsaw, </w:t>
      </w:r>
      <w:r w:rsidR="00547A1A">
        <w:rPr>
          <w:rFonts w:ascii="Arial" w:hAnsi="Arial" w:cs="Arial"/>
          <w:noProof/>
        </w:rPr>
        <w:t>23.06.</w:t>
      </w:r>
      <w:r>
        <w:rPr>
          <w:rFonts w:ascii="Arial" w:hAnsi="Arial" w:cs="Arial"/>
          <w:noProof/>
        </w:rPr>
        <w:t>2026</w:t>
      </w:r>
    </w:p>
    <w:p w14:paraId="7FF14B17" w14:textId="70C0175C" w:rsidR="00AA71EF" w:rsidRPr="00D969DE" w:rsidRDefault="00D969DE" w:rsidP="00AA71EF">
      <w:pPr>
        <w:jc w:val="both"/>
        <w:rPr>
          <w:rFonts w:ascii="Arial" w:hAnsi="Arial" w:cs="Arial"/>
          <w:lang w:val="en-US"/>
        </w:rPr>
      </w:pPr>
      <w:r w:rsidRPr="000627B3">
        <w:rPr>
          <w:rFonts w:ascii="Arial" w:eastAsia="Arial" w:hAnsi="Arial" w:cs="Times New Roman"/>
          <w:noProof/>
          <w:kern w:val="0"/>
          <w:sz w:val="24"/>
          <w:szCs w:val="20"/>
          <w:lang w:eastAsia="ja-JP"/>
          <w14:ligatures w14:val="none"/>
        </w:rPr>
        <mc:AlternateContent>
          <mc:Choice Requires="wps">
            <w:drawing>
              <wp:inline distT="0" distB="0" distL="0" distR="0" wp14:anchorId="144D1471" wp14:editId="6C15FBCE">
                <wp:extent cx="5692140" cy="243840"/>
                <wp:effectExtent l="0" t="0" r="3810" b="3810"/>
                <wp:docPr id="6" name="Rectangle 6"/>
                <wp:cNvGraphicFramePr/>
                <a:graphic xmlns:a="http://schemas.openxmlformats.org/drawingml/2006/main">
                  <a:graphicData uri="http://schemas.microsoft.com/office/word/2010/wordprocessingShape">
                    <wps:wsp>
                      <wps:cNvSpPr/>
                      <wps:spPr>
                        <a:xfrm>
                          <a:off x="0" y="0"/>
                          <a:ext cx="5692140" cy="243840"/>
                        </a:xfrm>
                        <a:prstGeom prst="rect">
                          <a:avLst/>
                        </a:prstGeom>
                        <a:solidFill>
                          <a:srgbClr val="00A76C"/>
                        </a:solidFill>
                        <a:ln w="3175" cap="flat" cmpd="sng" algn="ctr">
                          <a:noFill/>
                          <a:prstDash val="solid"/>
                        </a:ln>
                        <a:effectLst/>
                      </wps:spPr>
                      <wps:txbx>
                        <w:txbxContent>
                          <w:p w14:paraId="5E68BF2F" w14:textId="1F5FD1CD" w:rsidR="00D969DE" w:rsidRPr="00D969DE" w:rsidRDefault="00D969DE" w:rsidP="00D969DE">
                            <w:pPr>
                              <w:jc w:val="center"/>
                              <w:rPr>
                                <w:b/>
                                <w:bCs/>
                                <w:color w:val="FFFFFF"/>
                                <w:sz w:val="28"/>
                                <w:szCs w:val="28"/>
                              </w:rPr>
                            </w:pPr>
                            <w:r w:rsidRPr="00D969DE">
                              <w:rPr>
                                <w:b/>
                                <w:bCs/>
                                <w:color w:val="FFFFFF"/>
                                <w:sz w:val="28"/>
                                <w:szCs w:val="28"/>
                              </w:rPr>
                              <w:t>PRESS RELEASE</w:t>
                            </w:r>
                          </w:p>
                          <w:p w14:paraId="737B62E2" w14:textId="77777777" w:rsidR="00D969DE" w:rsidRDefault="00D969DE" w:rsidP="00D969DE"/>
                          <w:p w14:paraId="5F8D7F1F" w14:textId="77777777" w:rsidR="00D969DE" w:rsidRDefault="00D969DE" w:rsidP="00D969DE"/>
                          <w:p w14:paraId="5252AE63" w14:textId="77777777" w:rsidR="00D969DE" w:rsidRDefault="00D969DE" w:rsidP="00D969DE"/>
                          <w:p w14:paraId="48F8FBE8" w14:textId="77777777" w:rsidR="00D969DE" w:rsidRDefault="00D969DE" w:rsidP="00D969DE"/>
                          <w:p w14:paraId="12E4DB5C" w14:textId="77777777" w:rsidR="00D969DE" w:rsidRPr="00D969DE" w:rsidRDefault="00D969DE" w:rsidP="00D969DE"/>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144D1471" id="Rectangle 6" o:spid="_x0000_s1026" style="width:448.2pt;height:1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" fillcolor="#00a76c" stroked="f" strokeweight=".25pt">
                <v:textbox inset="0,0,0,0">
                  <w:txbxContent>
                    <w:p w14:paraId="5E68BF2F" w14:textId="1F5FD1CD" w:rsidR="00D969DE" w:rsidRPr="00D969DE" w:rsidRDefault="00D969DE" w:rsidP="00D969DE">
                      <w:pPr>
                        <w:jc w:val="center"/>
                        <w:rPr>
                          <w:b/>
                          <w:bCs/>
                          <w:color w:val="FFFFFF"/>
                          <w:sz w:val="28"/>
                          <w:szCs w:val="28"/>
                        </w:rPr>
                      </w:pPr>
                      <w:r w:rsidRPr="00D969DE">
                        <w:rPr>
                          <w:b/>
                          <w:bCs/>
                          <w:color w:val="FFFFFF"/>
                          <w:sz w:val="28"/>
                          <w:szCs w:val="28"/>
                        </w:rPr>
                        <w:t>PRESS RELEASE</w:t>
                      </w:r>
                    </w:p>
                    <w:p w14:paraId="737B62E2" w14:textId="77777777" w:rsidR="00D969DE" w:rsidRDefault="00D969DE" w:rsidP="00D969DE"/>
                    <w:p w14:paraId="5F8D7F1F" w14:textId="77777777" w:rsidR="00D969DE" w:rsidRDefault="00D969DE" w:rsidP="00D969DE"/>
                    <w:p w14:paraId="5252AE63" w14:textId="77777777" w:rsidR="00D969DE" w:rsidRDefault="00D969DE" w:rsidP="00D969DE"/>
                    <w:p w14:paraId="48F8FBE8" w14:textId="77777777" w:rsidR="00D969DE" w:rsidRDefault="00D969DE" w:rsidP="00D969DE"/>
                    <w:p w14:paraId="12E4DB5C" w14:textId="77777777" w:rsidR="00D969DE" w:rsidRPr="00D969DE" w:rsidRDefault="00D969DE" w:rsidP="00D969DE"/>
                  </w:txbxContent>
                </v:textbox>
                <w10:anchorlock/>
              </v:rect>
            </w:pict>
          </mc:Fallback>
        </mc:AlternateContent>
      </w:r>
    </w:p>
    <w:p w14:paraId="725E3834" w14:textId="77777777" w:rsidR="00D969DE" w:rsidRDefault="00D969DE" w:rsidP="00AA71EF">
      <w:pPr>
        <w:jc w:val="both"/>
        <w:rPr>
          <w:rFonts w:ascii="Arial" w:hAnsi="Arial" w:cs="Arial"/>
          <w:b/>
          <w:bCs/>
          <w:color w:val="00AA48"/>
          <w:sz w:val="28"/>
          <w:szCs w:val="28"/>
          <w:lang w:val="en-US"/>
        </w:rPr>
      </w:pPr>
    </w:p>
    <w:p w14:paraId="66DABA3F" w14:textId="24E4A36C" w:rsidR="00AA71EF" w:rsidRPr="00D969DE" w:rsidRDefault="00AA71EF" w:rsidP="00AA71EF">
      <w:pPr>
        <w:jc w:val="both"/>
        <w:rPr>
          <w:rFonts w:ascii="Arial" w:hAnsi="Arial" w:cs="Arial"/>
          <w:b/>
          <w:bCs/>
          <w:color w:val="00AA48"/>
          <w:sz w:val="28"/>
          <w:szCs w:val="28"/>
          <w:lang w:val="en-US"/>
        </w:rPr>
      </w:pPr>
      <w:r w:rsidRPr="00D969DE">
        <w:rPr>
          <w:rFonts w:ascii="Arial" w:hAnsi="Arial" w:cs="Arial"/>
          <w:b/>
          <w:bCs/>
          <w:color w:val="00AA48"/>
          <w:sz w:val="28"/>
          <w:szCs w:val="28"/>
          <w:lang w:val="en-US"/>
        </w:rPr>
        <w:t>The Polish retail market is maturing. Retail parks continue to drive the sector’s growth</w:t>
      </w:r>
    </w:p>
    <w:p w14:paraId="741D5B6E" w14:textId="77777777" w:rsidR="00D969DE" w:rsidRDefault="00D969DE" w:rsidP="00AA71EF">
      <w:pPr>
        <w:jc w:val="both"/>
        <w:rPr>
          <w:rFonts w:ascii="Arial" w:hAnsi="Arial" w:cs="Arial"/>
          <w:b/>
          <w:bCs/>
          <w:sz w:val="24"/>
          <w:szCs w:val="24"/>
          <w:lang w:val="en-US"/>
        </w:rPr>
      </w:pPr>
    </w:p>
    <w:p w14:paraId="7027FDB1" w14:textId="00DE883E" w:rsidR="00AA71EF" w:rsidRPr="00D969DE" w:rsidRDefault="00AA71EF" w:rsidP="00AA71EF">
      <w:pPr>
        <w:jc w:val="both"/>
        <w:rPr>
          <w:rFonts w:ascii="Arial" w:hAnsi="Arial" w:cs="Arial"/>
          <w:b/>
          <w:bCs/>
          <w:sz w:val="24"/>
          <w:szCs w:val="24"/>
          <w:lang w:val="en-US"/>
        </w:rPr>
      </w:pPr>
      <w:r w:rsidRPr="00D969DE">
        <w:rPr>
          <w:rFonts w:ascii="Arial" w:hAnsi="Arial" w:cs="Arial"/>
          <w:b/>
          <w:bCs/>
          <w:sz w:val="24"/>
          <w:szCs w:val="24"/>
          <w:lang w:val="en-US"/>
        </w:rPr>
        <w:t>The Polish retail real estate market has successfully adapted to changing consumer behavior and the growing importance of e-commerce. Retail parks remain the key growth driver, dominating the supply structure. Falling vacancy rates and a stronger focus on quality upgrades confirm the sector’s increasingly mature condition, according to the BNP Paribas Real Estate Poland report “Review. Polish Retail Market in Q1 2026.”</w:t>
      </w:r>
    </w:p>
    <w:p w14:paraId="493C6457" w14:textId="77777777" w:rsidR="00AA71EF" w:rsidRPr="00D969DE" w:rsidRDefault="00AA71EF" w:rsidP="00AA71EF">
      <w:pPr>
        <w:jc w:val="both"/>
        <w:rPr>
          <w:rFonts w:ascii="Arial" w:hAnsi="Arial" w:cs="Arial"/>
          <w:lang w:val="en-US"/>
        </w:rPr>
      </w:pPr>
    </w:p>
    <w:p w14:paraId="2CE22CF5" w14:textId="77777777" w:rsidR="00AA71EF" w:rsidRPr="00D969DE" w:rsidRDefault="00AA71EF" w:rsidP="00AA71EF">
      <w:pPr>
        <w:jc w:val="both"/>
        <w:rPr>
          <w:rFonts w:ascii="Arial" w:hAnsi="Arial" w:cs="Arial"/>
          <w:b/>
          <w:bCs/>
          <w:color w:val="00AA48"/>
          <w:sz w:val="24"/>
          <w:szCs w:val="24"/>
          <w:lang w:val="en-US"/>
        </w:rPr>
      </w:pPr>
      <w:r w:rsidRPr="00D969DE">
        <w:rPr>
          <w:rFonts w:ascii="Arial" w:hAnsi="Arial" w:cs="Arial"/>
          <w:b/>
          <w:bCs/>
          <w:color w:val="00AA48"/>
          <w:sz w:val="24"/>
          <w:szCs w:val="24"/>
          <w:lang w:val="en-US"/>
        </w:rPr>
        <w:t>A maturing retail market</w:t>
      </w:r>
    </w:p>
    <w:p w14:paraId="7BE37430" w14:textId="77777777" w:rsidR="00AA71EF" w:rsidRPr="00D969DE" w:rsidRDefault="00AA71EF" w:rsidP="00AA71EF">
      <w:pPr>
        <w:jc w:val="both"/>
        <w:rPr>
          <w:rFonts w:ascii="Arial" w:hAnsi="Arial" w:cs="Arial"/>
          <w:sz w:val="24"/>
          <w:szCs w:val="24"/>
          <w:lang w:val="en-US"/>
        </w:rPr>
      </w:pPr>
      <w:r w:rsidRPr="00D969DE">
        <w:rPr>
          <w:rFonts w:ascii="Arial" w:hAnsi="Arial" w:cs="Arial"/>
          <w:sz w:val="24"/>
          <w:szCs w:val="24"/>
          <w:lang w:val="en-US"/>
        </w:rPr>
        <w:t>Since the outbreak of the COVID-19 pandemic, the Polish retail market has clearly bounced back and regained its footing. The sector has adjusted smoothly to evolving shopping habits. Scenarios predicting a crisis in traditional retail have not played out, and retail parks have stepped up as the main engine of growth, now taking the lead in new supply.</w:t>
      </w:r>
    </w:p>
    <w:p w14:paraId="5FED56B0" w14:textId="77777777" w:rsidR="00AA71EF" w:rsidRPr="00D969DE" w:rsidRDefault="00AA71EF" w:rsidP="00AA71EF">
      <w:pPr>
        <w:jc w:val="both"/>
        <w:rPr>
          <w:rFonts w:ascii="Arial" w:hAnsi="Arial" w:cs="Arial"/>
          <w:sz w:val="24"/>
          <w:szCs w:val="24"/>
          <w:lang w:val="en-US"/>
        </w:rPr>
      </w:pPr>
      <w:r w:rsidRPr="00D969DE">
        <w:rPr>
          <w:rFonts w:ascii="Arial" w:hAnsi="Arial" w:cs="Arial"/>
          <w:sz w:val="24"/>
          <w:szCs w:val="24"/>
          <w:lang w:val="en-US"/>
        </w:rPr>
        <w:t>Over the past six years, retail parks have contributed approximately 1.8 million sqm of new space, while shopping centers have added around 400,000 sqm.</w:t>
      </w:r>
    </w:p>
    <w:p w14:paraId="0356D489" w14:textId="162C16B9" w:rsidR="00AA71EF" w:rsidRPr="00D969DE" w:rsidRDefault="00AA71EF" w:rsidP="00AA71EF">
      <w:pPr>
        <w:jc w:val="both"/>
        <w:rPr>
          <w:rFonts w:ascii="Arial" w:hAnsi="Arial" w:cs="Arial"/>
          <w:sz w:val="24"/>
          <w:szCs w:val="24"/>
          <w:lang w:val="en-US"/>
        </w:rPr>
      </w:pPr>
      <w:r w:rsidRPr="00D969DE">
        <w:rPr>
          <w:rFonts w:ascii="Arial" w:hAnsi="Arial" w:cs="Arial"/>
          <w:sz w:val="24"/>
          <w:szCs w:val="24"/>
          <w:lang w:val="en-US"/>
        </w:rPr>
        <w:t>“The shopping center market is nearing saturation, and investment activity is shifting toward refurbishments, extensions, and repositioning of existing assets. The key trend is a move away from quantity toward quality, including tailoring the offer to changing consumer needs. Significant shifts in tenant mix are also visible, with a growing share of F&amp;B, sports and leisure, drugstores, and value retail brands,”</w:t>
      </w:r>
      <w:r w:rsidR="00A06A7D">
        <w:rPr>
          <w:rFonts w:ascii="Arial" w:hAnsi="Arial" w:cs="Arial"/>
          <w:sz w:val="24"/>
          <w:szCs w:val="24"/>
          <w:lang w:val="en-US"/>
        </w:rPr>
        <w:t xml:space="preserve"> </w:t>
      </w:r>
      <w:r w:rsidRPr="00D969DE">
        <w:rPr>
          <w:rFonts w:ascii="Arial" w:hAnsi="Arial" w:cs="Arial"/>
          <w:sz w:val="24"/>
          <w:szCs w:val="24"/>
          <w:lang w:val="en-US"/>
        </w:rPr>
        <w:t xml:space="preserve">emphasizes </w:t>
      </w:r>
      <w:r w:rsidRPr="00D969DE">
        <w:rPr>
          <w:rFonts w:ascii="Arial" w:hAnsi="Arial" w:cs="Arial"/>
          <w:b/>
          <w:bCs/>
          <w:sz w:val="24"/>
          <w:szCs w:val="24"/>
          <w:lang w:val="en-US"/>
        </w:rPr>
        <w:t>Anna Pływacz, Head of Retail at BNP Paribas Real Estate Poland</w:t>
      </w:r>
      <w:r w:rsidRPr="00D969DE">
        <w:rPr>
          <w:rFonts w:ascii="Arial" w:hAnsi="Arial" w:cs="Arial"/>
          <w:sz w:val="24"/>
          <w:szCs w:val="24"/>
          <w:lang w:val="en-US"/>
        </w:rPr>
        <w:t>.</w:t>
      </w:r>
    </w:p>
    <w:p w14:paraId="35244CF6" w14:textId="77777777" w:rsidR="00AA71EF" w:rsidRPr="00D969DE" w:rsidRDefault="00AA71EF" w:rsidP="00AA71EF">
      <w:pPr>
        <w:jc w:val="both"/>
        <w:rPr>
          <w:rFonts w:ascii="Arial" w:hAnsi="Arial" w:cs="Arial"/>
          <w:sz w:val="24"/>
          <w:szCs w:val="24"/>
          <w:lang w:val="en-US"/>
        </w:rPr>
      </w:pPr>
    </w:p>
    <w:p w14:paraId="130B787A" w14:textId="77777777" w:rsidR="00AA71EF" w:rsidRPr="00D969DE" w:rsidRDefault="00AA71EF" w:rsidP="00AA71EF">
      <w:pPr>
        <w:jc w:val="both"/>
        <w:rPr>
          <w:rFonts w:ascii="Arial" w:hAnsi="Arial" w:cs="Arial"/>
          <w:b/>
          <w:bCs/>
          <w:color w:val="00AA48"/>
          <w:sz w:val="24"/>
          <w:szCs w:val="24"/>
          <w:lang w:val="en-US"/>
        </w:rPr>
      </w:pPr>
      <w:r w:rsidRPr="00D969DE">
        <w:rPr>
          <w:rFonts w:ascii="Arial" w:hAnsi="Arial" w:cs="Arial"/>
          <w:b/>
          <w:bCs/>
          <w:color w:val="00AA48"/>
          <w:sz w:val="24"/>
          <w:szCs w:val="24"/>
          <w:lang w:val="en-US"/>
        </w:rPr>
        <w:t>Strong development pipeline</w:t>
      </w:r>
    </w:p>
    <w:p w14:paraId="3A199286" w14:textId="77777777" w:rsidR="00AA71EF" w:rsidRPr="00D969DE" w:rsidRDefault="00AA71EF" w:rsidP="00AA71EF">
      <w:pPr>
        <w:jc w:val="both"/>
        <w:rPr>
          <w:rFonts w:ascii="Arial" w:hAnsi="Arial" w:cs="Arial"/>
          <w:sz w:val="24"/>
          <w:szCs w:val="24"/>
          <w:lang w:val="en-US"/>
        </w:rPr>
      </w:pPr>
      <w:r w:rsidRPr="00D969DE">
        <w:rPr>
          <w:rFonts w:ascii="Arial" w:hAnsi="Arial" w:cs="Arial"/>
          <w:sz w:val="24"/>
          <w:szCs w:val="24"/>
          <w:lang w:val="en-US"/>
        </w:rPr>
        <w:t>BNP Paribas Real Estate Poland analysts point out that, as of the end of March 2026, around 850,000 sqm of modern retail space was under construction, including both new developments and extensions of existing assets.</w:t>
      </w:r>
    </w:p>
    <w:p w14:paraId="0216ECFC" w14:textId="77777777" w:rsidR="00AA71EF" w:rsidRPr="00D969DE" w:rsidRDefault="00AA71EF" w:rsidP="00AA71EF">
      <w:pPr>
        <w:jc w:val="both"/>
        <w:rPr>
          <w:rFonts w:ascii="Arial" w:hAnsi="Arial" w:cs="Arial"/>
          <w:sz w:val="24"/>
          <w:szCs w:val="24"/>
          <w:lang w:val="en-US"/>
        </w:rPr>
      </w:pPr>
      <w:r w:rsidRPr="00D969DE">
        <w:rPr>
          <w:rFonts w:ascii="Arial" w:hAnsi="Arial" w:cs="Arial"/>
          <w:sz w:val="24"/>
          <w:szCs w:val="24"/>
          <w:lang w:val="en-US"/>
        </w:rPr>
        <w:t>Over 663,000 sqm is expected to come on stream in 2026–2027, marking a 90% increase year-on-year.</w:t>
      </w:r>
    </w:p>
    <w:p w14:paraId="448E2BE8" w14:textId="77777777" w:rsidR="00AA71EF" w:rsidRPr="00D969DE" w:rsidRDefault="00AA71EF" w:rsidP="00AA71EF">
      <w:pPr>
        <w:jc w:val="both"/>
        <w:rPr>
          <w:rFonts w:ascii="Arial" w:hAnsi="Arial" w:cs="Arial"/>
          <w:sz w:val="24"/>
          <w:szCs w:val="24"/>
          <w:lang w:val="en-US"/>
        </w:rPr>
      </w:pPr>
      <w:r w:rsidRPr="00D969DE">
        <w:rPr>
          <w:rFonts w:ascii="Arial" w:hAnsi="Arial" w:cs="Arial"/>
          <w:sz w:val="24"/>
          <w:szCs w:val="24"/>
          <w:lang w:val="en-US"/>
        </w:rPr>
        <w:t>Retail parks continue to lead the way, accounting for more than 780,000 sqm under development (92% of the total pipeline). This underlines sustained interest in the segment from both developers and investors.</w:t>
      </w:r>
    </w:p>
    <w:p w14:paraId="687ED5F9" w14:textId="39D3B69B" w:rsidR="00AA71EF" w:rsidRPr="00D969DE" w:rsidRDefault="00AA71EF" w:rsidP="00AA71EF">
      <w:pPr>
        <w:jc w:val="both"/>
        <w:rPr>
          <w:rFonts w:ascii="Arial" w:hAnsi="Arial" w:cs="Arial"/>
          <w:sz w:val="24"/>
          <w:szCs w:val="24"/>
          <w:lang w:val="en-US"/>
        </w:rPr>
      </w:pPr>
      <w:r w:rsidRPr="00D969DE">
        <w:rPr>
          <w:rFonts w:ascii="Arial" w:hAnsi="Arial" w:cs="Arial"/>
          <w:sz w:val="24"/>
          <w:szCs w:val="24"/>
          <w:lang w:val="en-US"/>
        </w:rPr>
        <w:lastRenderedPageBreak/>
        <w:t>Major ongoing projects include:</w:t>
      </w:r>
    </w:p>
    <w:p w14:paraId="64E39FC0" w14:textId="4D42A121" w:rsidR="00AA71EF" w:rsidRPr="00A06A7D" w:rsidRDefault="00D969DE" w:rsidP="00D969DE">
      <w:pPr>
        <w:jc w:val="both"/>
        <w:rPr>
          <w:rFonts w:ascii="Arial" w:hAnsi="Arial" w:cs="Arial"/>
          <w:sz w:val="24"/>
          <w:szCs w:val="24"/>
          <w:lang w:val="en-US"/>
        </w:rPr>
      </w:pPr>
      <w:r w:rsidRPr="00A06A7D">
        <w:rPr>
          <w:rFonts w:ascii="Arial" w:hAnsi="Arial" w:cs="Arial"/>
          <w:sz w:val="24"/>
          <w:szCs w:val="24"/>
          <w:lang w:val="en-US"/>
        </w:rPr>
        <w:t xml:space="preserve">- </w:t>
      </w:r>
      <w:r w:rsidR="00AA71EF" w:rsidRPr="00A06A7D">
        <w:rPr>
          <w:rFonts w:ascii="Arial" w:hAnsi="Arial" w:cs="Arial"/>
          <w:sz w:val="24"/>
          <w:szCs w:val="24"/>
          <w:lang w:val="en-US"/>
        </w:rPr>
        <w:t xml:space="preserve">BIG </w:t>
      </w:r>
      <w:proofErr w:type="spellStart"/>
      <w:r w:rsidR="00AA71EF" w:rsidRPr="00A06A7D">
        <w:rPr>
          <w:rFonts w:ascii="Arial" w:hAnsi="Arial" w:cs="Arial"/>
          <w:sz w:val="24"/>
          <w:szCs w:val="24"/>
          <w:lang w:val="en-US"/>
        </w:rPr>
        <w:t>Piła</w:t>
      </w:r>
      <w:proofErr w:type="spellEnd"/>
      <w:r w:rsidR="00AA71EF" w:rsidRPr="00A06A7D">
        <w:rPr>
          <w:rFonts w:ascii="Arial" w:hAnsi="Arial" w:cs="Arial"/>
          <w:sz w:val="24"/>
          <w:szCs w:val="24"/>
          <w:lang w:val="en-US"/>
        </w:rPr>
        <w:t xml:space="preserve"> (38,000 sqm)</w:t>
      </w:r>
    </w:p>
    <w:p w14:paraId="0B7470FB" w14:textId="693A31EF" w:rsidR="00AA71EF" w:rsidRPr="00D969DE" w:rsidRDefault="00D969DE" w:rsidP="00D969DE">
      <w:pPr>
        <w:jc w:val="both"/>
        <w:rPr>
          <w:rFonts w:ascii="Arial" w:hAnsi="Arial" w:cs="Arial"/>
          <w:sz w:val="24"/>
          <w:szCs w:val="24"/>
        </w:rPr>
      </w:pPr>
      <w:r>
        <w:rPr>
          <w:rFonts w:ascii="Arial" w:hAnsi="Arial" w:cs="Arial"/>
          <w:sz w:val="24"/>
          <w:szCs w:val="24"/>
        </w:rPr>
        <w:t xml:space="preserve">- </w:t>
      </w:r>
      <w:r w:rsidR="00AA71EF" w:rsidRPr="00D969DE">
        <w:rPr>
          <w:rFonts w:ascii="Arial" w:hAnsi="Arial" w:cs="Arial"/>
          <w:sz w:val="24"/>
          <w:szCs w:val="24"/>
        </w:rPr>
        <w:t xml:space="preserve">MMG </w:t>
      </w:r>
      <w:proofErr w:type="spellStart"/>
      <w:r w:rsidR="00AA71EF" w:rsidRPr="00D969DE">
        <w:rPr>
          <w:rFonts w:ascii="Arial" w:hAnsi="Arial" w:cs="Arial"/>
          <w:sz w:val="24"/>
          <w:szCs w:val="24"/>
        </w:rPr>
        <w:t>Centers</w:t>
      </w:r>
      <w:proofErr w:type="spellEnd"/>
      <w:r w:rsidR="00AA71EF" w:rsidRPr="00D969DE">
        <w:rPr>
          <w:rFonts w:ascii="Arial" w:hAnsi="Arial" w:cs="Arial"/>
          <w:sz w:val="24"/>
          <w:szCs w:val="24"/>
        </w:rPr>
        <w:t xml:space="preserve"> Krosno (26,000 </w:t>
      </w:r>
      <w:proofErr w:type="spellStart"/>
      <w:r w:rsidR="00AA71EF" w:rsidRPr="00D969DE">
        <w:rPr>
          <w:rFonts w:ascii="Arial" w:hAnsi="Arial" w:cs="Arial"/>
          <w:sz w:val="24"/>
          <w:szCs w:val="24"/>
        </w:rPr>
        <w:t>sqm</w:t>
      </w:r>
      <w:proofErr w:type="spellEnd"/>
      <w:r w:rsidR="00AA71EF" w:rsidRPr="00D969DE">
        <w:rPr>
          <w:rFonts w:ascii="Arial" w:hAnsi="Arial" w:cs="Arial"/>
          <w:sz w:val="24"/>
          <w:szCs w:val="24"/>
        </w:rPr>
        <w:t>)</w:t>
      </w:r>
    </w:p>
    <w:p w14:paraId="0D1EF3B3" w14:textId="5C72296C" w:rsidR="00AA71EF" w:rsidRPr="00D969DE" w:rsidRDefault="00D969DE" w:rsidP="00D969DE">
      <w:pPr>
        <w:jc w:val="both"/>
        <w:rPr>
          <w:rFonts w:ascii="Arial" w:hAnsi="Arial" w:cs="Arial"/>
          <w:sz w:val="24"/>
          <w:szCs w:val="24"/>
        </w:rPr>
      </w:pPr>
      <w:r>
        <w:rPr>
          <w:rFonts w:ascii="Arial" w:hAnsi="Arial" w:cs="Arial"/>
          <w:sz w:val="24"/>
          <w:szCs w:val="24"/>
        </w:rPr>
        <w:t xml:space="preserve">- </w:t>
      </w:r>
      <w:r w:rsidR="00AA71EF" w:rsidRPr="00D969DE">
        <w:rPr>
          <w:rFonts w:ascii="Arial" w:hAnsi="Arial" w:cs="Arial"/>
          <w:sz w:val="24"/>
          <w:szCs w:val="24"/>
        </w:rPr>
        <w:t xml:space="preserve">Brama Bieszczad in Sanok (23,000 </w:t>
      </w:r>
      <w:proofErr w:type="spellStart"/>
      <w:r w:rsidR="00AA71EF" w:rsidRPr="00D969DE">
        <w:rPr>
          <w:rFonts w:ascii="Arial" w:hAnsi="Arial" w:cs="Arial"/>
          <w:sz w:val="24"/>
          <w:szCs w:val="24"/>
        </w:rPr>
        <w:t>sqm</w:t>
      </w:r>
      <w:proofErr w:type="spellEnd"/>
      <w:r w:rsidR="00AA71EF" w:rsidRPr="00D969DE">
        <w:rPr>
          <w:rFonts w:ascii="Arial" w:hAnsi="Arial" w:cs="Arial"/>
          <w:sz w:val="24"/>
          <w:szCs w:val="24"/>
        </w:rPr>
        <w:t>)</w:t>
      </w:r>
    </w:p>
    <w:p w14:paraId="7777DB70" w14:textId="48E28EF6" w:rsidR="00AA71EF" w:rsidRPr="00D969DE" w:rsidRDefault="00D969DE" w:rsidP="00D969DE">
      <w:pPr>
        <w:jc w:val="both"/>
        <w:rPr>
          <w:rFonts w:ascii="Arial" w:hAnsi="Arial" w:cs="Arial"/>
          <w:sz w:val="24"/>
          <w:szCs w:val="24"/>
          <w:lang w:val="en-US"/>
        </w:rPr>
      </w:pPr>
      <w:r>
        <w:rPr>
          <w:rFonts w:ascii="Arial" w:hAnsi="Arial" w:cs="Arial"/>
          <w:sz w:val="24"/>
          <w:szCs w:val="24"/>
          <w:lang w:val="en-US"/>
        </w:rPr>
        <w:t xml:space="preserve">- </w:t>
      </w:r>
      <w:r w:rsidR="00AA71EF" w:rsidRPr="00D969DE">
        <w:rPr>
          <w:rFonts w:ascii="Arial" w:hAnsi="Arial" w:cs="Arial"/>
          <w:sz w:val="24"/>
          <w:szCs w:val="24"/>
          <w:lang w:val="en-US"/>
        </w:rPr>
        <w:t xml:space="preserve">PH </w:t>
      </w:r>
      <w:proofErr w:type="spellStart"/>
      <w:r w:rsidR="00AA71EF" w:rsidRPr="00D969DE">
        <w:rPr>
          <w:rFonts w:ascii="Arial" w:hAnsi="Arial" w:cs="Arial"/>
          <w:sz w:val="24"/>
          <w:szCs w:val="24"/>
          <w:lang w:val="en-US"/>
        </w:rPr>
        <w:t>Świderek</w:t>
      </w:r>
      <w:proofErr w:type="spellEnd"/>
      <w:r w:rsidR="00AA71EF" w:rsidRPr="00D969DE">
        <w:rPr>
          <w:rFonts w:ascii="Arial" w:hAnsi="Arial" w:cs="Arial"/>
          <w:sz w:val="24"/>
          <w:szCs w:val="24"/>
          <w:lang w:val="en-US"/>
        </w:rPr>
        <w:t xml:space="preserve"> in </w:t>
      </w:r>
      <w:proofErr w:type="spellStart"/>
      <w:r w:rsidR="00AA71EF" w:rsidRPr="00D969DE">
        <w:rPr>
          <w:rFonts w:ascii="Arial" w:hAnsi="Arial" w:cs="Arial"/>
          <w:sz w:val="24"/>
          <w:szCs w:val="24"/>
          <w:lang w:val="en-US"/>
        </w:rPr>
        <w:t>Otwock</w:t>
      </w:r>
      <w:proofErr w:type="spellEnd"/>
      <w:r w:rsidR="00AA71EF" w:rsidRPr="00D969DE">
        <w:rPr>
          <w:rFonts w:ascii="Arial" w:hAnsi="Arial" w:cs="Arial"/>
          <w:sz w:val="24"/>
          <w:szCs w:val="24"/>
          <w:lang w:val="en-US"/>
        </w:rPr>
        <w:t xml:space="preserve"> (23,000 sqm)</w:t>
      </w:r>
    </w:p>
    <w:p w14:paraId="4C2A477B" w14:textId="77777777" w:rsidR="00AA71EF" w:rsidRPr="00D969DE" w:rsidRDefault="00AA71EF" w:rsidP="00AA71EF">
      <w:pPr>
        <w:jc w:val="both"/>
        <w:rPr>
          <w:rFonts w:ascii="Arial" w:hAnsi="Arial" w:cs="Arial"/>
          <w:b/>
          <w:bCs/>
          <w:sz w:val="24"/>
          <w:szCs w:val="24"/>
          <w:lang w:val="en-US"/>
        </w:rPr>
      </w:pPr>
    </w:p>
    <w:p w14:paraId="16D64CD6" w14:textId="77777777" w:rsidR="00AA71EF" w:rsidRPr="00D969DE" w:rsidRDefault="00AA71EF" w:rsidP="00AA71EF">
      <w:pPr>
        <w:jc w:val="both"/>
        <w:rPr>
          <w:rFonts w:ascii="Arial" w:hAnsi="Arial" w:cs="Arial"/>
          <w:b/>
          <w:bCs/>
          <w:color w:val="00AA48"/>
          <w:sz w:val="24"/>
          <w:szCs w:val="24"/>
          <w:lang w:val="en-US"/>
        </w:rPr>
      </w:pPr>
      <w:r w:rsidRPr="00D969DE">
        <w:rPr>
          <w:rFonts w:ascii="Arial" w:hAnsi="Arial" w:cs="Arial"/>
          <w:b/>
          <w:bCs/>
          <w:color w:val="00AA48"/>
          <w:sz w:val="24"/>
          <w:szCs w:val="24"/>
          <w:lang w:val="en-US"/>
        </w:rPr>
        <w:t>A more diverse retail park offer</w:t>
      </w:r>
    </w:p>
    <w:p w14:paraId="364E76A6" w14:textId="77777777" w:rsidR="00AA71EF" w:rsidRPr="00D969DE" w:rsidRDefault="00AA71EF" w:rsidP="00AA71EF">
      <w:pPr>
        <w:jc w:val="both"/>
        <w:rPr>
          <w:rFonts w:ascii="Arial" w:hAnsi="Arial" w:cs="Arial"/>
          <w:sz w:val="24"/>
          <w:szCs w:val="24"/>
          <w:lang w:val="en-US"/>
        </w:rPr>
      </w:pPr>
      <w:r w:rsidRPr="00D969DE">
        <w:rPr>
          <w:rFonts w:ascii="Arial" w:hAnsi="Arial" w:cs="Arial"/>
          <w:sz w:val="24"/>
          <w:szCs w:val="24"/>
          <w:lang w:val="en-US"/>
        </w:rPr>
        <w:t>Between January and the end of March 2026, more than 76,000 sqm of modern retail space was delivered, up by 70% year-on-year, although the result came in below the very strong end of the previous quarter.</w:t>
      </w:r>
    </w:p>
    <w:p w14:paraId="2A978693" w14:textId="7723ADC5" w:rsidR="00AA71EF" w:rsidRPr="00D969DE" w:rsidRDefault="00AA71EF" w:rsidP="00AA71EF">
      <w:pPr>
        <w:jc w:val="both"/>
        <w:rPr>
          <w:rFonts w:ascii="Arial" w:hAnsi="Arial" w:cs="Arial"/>
          <w:sz w:val="24"/>
          <w:szCs w:val="24"/>
          <w:lang w:val="en-US"/>
        </w:rPr>
      </w:pPr>
      <w:r w:rsidRPr="00D969DE">
        <w:rPr>
          <w:rFonts w:ascii="Arial" w:hAnsi="Arial" w:cs="Arial"/>
          <w:sz w:val="24"/>
          <w:szCs w:val="24"/>
          <w:lang w:val="en-US"/>
        </w:rPr>
        <w:t xml:space="preserve">One of the largest openings in Q1 was the second phase of San Park </w:t>
      </w:r>
      <w:proofErr w:type="spellStart"/>
      <w:r w:rsidRPr="00D969DE">
        <w:rPr>
          <w:rFonts w:ascii="Arial" w:hAnsi="Arial" w:cs="Arial"/>
          <w:sz w:val="24"/>
          <w:szCs w:val="24"/>
          <w:lang w:val="en-US"/>
        </w:rPr>
        <w:t>Piaseczno</w:t>
      </w:r>
      <w:proofErr w:type="spellEnd"/>
      <w:r w:rsidRPr="00D969DE">
        <w:rPr>
          <w:rFonts w:ascii="Arial" w:hAnsi="Arial" w:cs="Arial"/>
          <w:sz w:val="24"/>
          <w:szCs w:val="24"/>
          <w:lang w:val="en-US"/>
        </w:rPr>
        <w:t xml:space="preserve"> (</w:t>
      </w:r>
      <w:proofErr w:type="spellStart"/>
      <w:r w:rsidRPr="00D969DE">
        <w:rPr>
          <w:rFonts w:ascii="Arial" w:hAnsi="Arial" w:cs="Arial"/>
          <w:sz w:val="24"/>
          <w:szCs w:val="24"/>
          <w:lang w:val="en-US"/>
        </w:rPr>
        <w:t>Mysiadło</w:t>
      </w:r>
      <w:proofErr w:type="spellEnd"/>
      <w:r w:rsidRPr="00D969DE">
        <w:rPr>
          <w:rFonts w:ascii="Arial" w:hAnsi="Arial" w:cs="Arial"/>
          <w:sz w:val="24"/>
          <w:szCs w:val="24"/>
          <w:lang w:val="en-US"/>
        </w:rPr>
        <w:t xml:space="preserve">, near </w:t>
      </w:r>
      <w:proofErr w:type="spellStart"/>
      <w:r w:rsidRPr="00D969DE">
        <w:rPr>
          <w:rFonts w:ascii="Arial" w:hAnsi="Arial" w:cs="Arial"/>
          <w:sz w:val="24"/>
          <w:szCs w:val="24"/>
          <w:lang w:val="en-US"/>
        </w:rPr>
        <w:t>Piaseczno</w:t>
      </w:r>
      <w:proofErr w:type="spellEnd"/>
      <w:r w:rsidRPr="00D969DE">
        <w:rPr>
          <w:rFonts w:ascii="Arial" w:hAnsi="Arial" w:cs="Arial"/>
          <w:sz w:val="24"/>
          <w:szCs w:val="24"/>
          <w:lang w:val="en-US"/>
        </w:rPr>
        <w:t xml:space="preserve">), delivering 15,900 sqm for Agata </w:t>
      </w:r>
      <w:proofErr w:type="spellStart"/>
      <w:r w:rsidRPr="00D969DE">
        <w:rPr>
          <w:rFonts w:ascii="Arial" w:hAnsi="Arial" w:cs="Arial"/>
          <w:sz w:val="24"/>
          <w:szCs w:val="24"/>
          <w:lang w:val="en-US"/>
        </w:rPr>
        <w:t>Meble</w:t>
      </w:r>
      <w:proofErr w:type="spellEnd"/>
      <w:r w:rsidRPr="00D969DE">
        <w:rPr>
          <w:rFonts w:ascii="Arial" w:hAnsi="Arial" w:cs="Arial"/>
          <w:sz w:val="24"/>
          <w:szCs w:val="24"/>
          <w:lang w:val="en-US"/>
        </w:rPr>
        <w:t>. Other key schemes included:</w:t>
      </w:r>
    </w:p>
    <w:p w14:paraId="12127BC3" w14:textId="18370309" w:rsidR="00AA71EF" w:rsidRPr="00D969DE" w:rsidRDefault="00AA71EF" w:rsidP="00D969DE">
      <w:pPr>
        <w:pStyle w:val="ListParagraph"/>
        <w:numPr>
          <w:ilvl w:val="0"/>
          <w:numId w:val="3"/>
        </w:numPr>
        <w:jc w:val="both"/>
        <w:rPr>
          <w:rFonts w:ascii="Arial" w:hAnsi="Arial" w:cs="Arial"/>
          <w:sz w:val="24"/>
          <w:szCs w:val="24"/>
          <w:lang w:val="en-US"/>
        </w:rPr>
      </w:pPr>
      <w:r w:rsidRPr="00D969DE">
        <w:rPr>
          <w:rFonts w:ascii="Arial" w:hAnsi="Arial" w:cs="Arial"/>
          <w:sz w:val="24"/>
          <w:szCs w:val="24"/>
          <w:lang w:val="en-US"/>
        </w:rPr>
        <w:t xml:space="preserve">M Park </w:t>
      </w:r>
      <w:proofErr w:type="spellStart"/>
      <w:r w:rsidRPr="00D969DE">
        <w:rPr>
          <w:rFonts w:ascii="Arial" w:hAnsi="Arial" w:cs="Arial"/>
          <w:sz w:val="24"/>
          <w:szCs w:val="24"/>
          <w:lang w:val="en-US"/>
        </w:rPr>
        <w:t>Bogatynia</w:t>
      </w:r>
      <w:proofErr w:type="spellEnd"/>
      <w:r w:rsidRPr="00D969DE">
        <w:rPr>
          <w:rFonts w:ascii="Arial" w:hAnsi="Arial" w:cs="Arial"/>
          <w:sz w:val="24"/>
          <w:szCs w:val="24"/>
          <w:lang w:val="en-US"/>
        </w:rPr>
        <w:t xml:space="preserve"> (8,200 sqm)</w:t>
      </w:r>
    </w:p>
    <w:p w14:paraId="4FE63EFB" w14:textId="5CD25898" w:rsidR="00AA71EF" w:rsidRPr="00D969DE" w:rsidRDefault="00AA71EF" w:rsidP="00D969DE">
      <w:pPr>
        <w:pStyle w:val="ListParagraph"/>
        <w:numPr>
          <w:ilvl w:val="0"/>
          <w:numId w:val="3"/>
        </w:numPr>
        <w:jc w:val="both"/>
        <w:rPr>
          <w:rFonts w:ascii="Arial" w:hAnsi="Arial" w:cs="Arial"/>
          <w:sz w:val="24"/>
          <w:szCs w:val="24"/>
        </w:rPr>
      </w:pPr>
      <w:r w:rsidRPr="00D969DE">
        <w:rPr>
          <w:rFonts w:ascii="Arial" w:hAnsi="Arial" w:cs="Arial"/>
          <w:sz w:val="24"/>
          <w:szCs w:val="24"/>
        </w:rPr>
        <w:t xml:space="preserve">Retail Park Tomaszów Lubelski (8,000 </w:t>
      </w:r>
      <w:proofErr w:type="spellStart"/>
      <w:r w:rsidRPr="00D969DE">
        <w:rPr>
          <w:rFonts w:ascii="Arial" w:hAnsi="Arial" w:cs="Arial"/>
          <w:sz w:val="24"/>
          <w:szCs w:val="24"/>
        </w:rPr>
        <w:t>sqm</w:t>
      </w:r>
      <w:proofErr w:type="spellEnd"/>
      <w:r w:rsidRPr="00D969DE">
        <w:rPr>
          <w:rFonts w:ascii="Arial" w:hAnsi="Arial" w:cs="Arial"/>
          <w:sz w:val="24"/>
          <w:szCs w:val="24"/>
        </w:rPr>
        <w:t>)</w:t>
      </w:r>
    </w:p>
    <w:p w14:paraId="4F0B0317" w14:textId="4AB74A2E" w:rsidR="00AA71EF" w:rsidRPr="00D969DE" w:rsidRDefault="00AA71EF" w:rsidP="00AA71EF">
      <w:pPr>
        <w:jc w:val="both"/>
        <w:rPr>
          <w:rFonts w:ascii="Arial" w:hAnsi="Arial" w:cs="Arial"/>
          <w:sz w:val="24"/>
          <w:szCs w:val="24"/>
          <w:lang w:val="en-US"/>
        </w:rPr>
      </w:pPr>
      <w:r w:rsidRPr="00D969DE">
        <w:rPr>
          <w:rFonts w:ascii="Arial" w:hAnsi="Arial" w:cs="Arial"/>
          <w:sz w:val="24"/>
          <w:szCs w:val="24"/>
          <w:lang w:val="en-US"/>
        </w:rPr>
        <w:t xml:space="preserve">While retail remains the dominant function in retail parks, services and F&amp;B are increasingly stepping up their presence. Fashion retailers and </w:t>
      </w:r>
      <w:r w:rsidR="00A06A7D" w:rsidRPr="00D969DE">
        <w:rPr>
          <w:rFonts w:ascii="Arial" w:hAnsi="Arial" w:cs="Arial"/>
          <w:sz w:val="24"/>
          <w:szCs w:val="24"/>
          <w:lang w:val="en-US"/>
        </w:rPr>
        <w:t>drug stores</w:t>
      </w:r>
      <w:r w:rsidRPr="00D969DE">
        <w:rPr>
          <w:rFonts w:ascii="Arial" w:hAnsi="Arial" w:cs="Arial"/>
          <w:sz w:val="24"/>
          <w:szCs w:val="24"/>
          <w:lang w:val="en-US"/>
        </w:rPr>
        <w:t xml:space="preserve"> are also gaining ground.</w:t>
      </w:r>
    </w:p>
    <w:p w14:paraId="4C0425BA" w14:textId="562AB14E" w:rsidR="00AA71EF" w:rsidRDefault="00AA71EF" w:rsidP="00AA71EF">
      <w:pPr>
        <w:jc w:val="both"/>
        <w:rPr>
          <w:rFonts w:ascii="Arial" w:hAnsi="Arial" w:cs="Arial"/>
          <w:sz w:val="24"/>
          <w:szCs w:val="24"/>
          <w:lang w:val="en-US"/>
        </w:rPr>
      </w:pPr>
      <w:r w:rsidRPr="00D969DE">
        <w:rPr>
          <w:rFonts w:ascii="Arial" w:hAnsi="Arial" w:cs="Arial"/>
          <w:sz w:val="24"/>
          <w:szCs w:val="24"/>
          <w:lang w:val="en-US"/>
        </w:rPr>
        <w:t>Despite gradual diversification, the tenant mix in retail parks remains relatively narrow and largely based on repeat brands. At the same time, the best-performing schemes—especially those near large urban areas—are increasingly drawing in brands previously found only in traditional shopping centers.</w:t>
      </w:r>
    </w:p>
    <w:p w14:paraId="29969F8E" w14:textId="77777777" w:rsidR="00C55A21" w:rsidRPr="00D969DE" w:rsidRDefault="00C55A21" w:rsidP="00AA71EF">
      <w:pPr>
        <w:jc w:val="both"/>
        <w:rPr>
          <w:rFonts w:ascii="Arial" w:hAnsi="Arial" w:cs="Arial"/>
          <w:sz w:val="24"/>
          <w:szCs w:val="24"/>
          <w:lang w:val="en-US"/>
        </w:rPr>
      </w:pPr>
    </w:p>
    <w:p w14:paraId="56283D4A" w14:textId="77777777" w:rsidR="00AA71EF" w:rsidRPr="00D969DE" w:rsidRDefault="00AA71EF" w:rsidP="00AA71EF">
      <w:pPr>
        <w:jc w:val="both"/>
        <w:rPr>
          <w:rFonts w:ascii="Arial" w:hAnsi="Arial" w:cs="Arial"/>
          <w:b/>
          <w:bCs/>
          <w:color w:val="00AA48"/>
          <w:sz w:val="24"/>
          <w:szCs w:val="24"/>
          <w:lang w:val="en-US"/>
        </w:rPr>
      </w:pPr>
      <w:r w:rsidRPr="00D969DE">
        <w:rPr>
          <w:rFonts w:ascii="Arial" w:hAnsi="Arial" w:cs="Arial"/>
          <w:b/>
          <w:bCs/>
          <w:color w:val="00AA48"/>
          <w:sz w:val="24"/>
          <w:szCs w:val="24"/>
          <w:lang w:val="en-US"/>
        </w:rPr>
        <w:t>Stock and vacancy levels</w:t>
      </w:r>
    </w:p>
    <w:p w14:paraId="60C42F39" w14:textId="77777777" w:rsidR="00AA71EF" w:rsidRPr="00D969DE" w:rsidRDefault="00AA71EF" w:rsidP="00AA71EF">
      <w:pPr>
        <w:jc w:val="both"/>
        <w:rPr>
          <w:rFonts w:ascii="Arial" w:hAnsi="Arial" w:cs="Arial"/>
          <w:sz w:val="24"/>
          <w:szCs w:val="24"/>
          <w:lang w:val="en-US"/>
        </w:rPr>
      </w:pPr>
      <w:r w:rsidRPr="00D969DE">
        <w:rPr>
          <w:rFonts w:ascii="Arial" w:hAnsi="Arial" w:cs="Arial"/>
          <w:sz w:val="24"/>
          <w:szCs w:val="24"/>
          <w:lang w:val="en-US"/>
        </w:rPr>
        <w:t>Looking at the total modern retail stock (including shopping centers, outlet centers, retail parks, and standalone schemes), Warsaw ranks first with 2.3 million sqm, followed by the Katowice conurbation (1.5 million sqm) and the Tri-City (nearly 1 million sqm).</w:t>
      </w:r>
    </w:p>
    <w:p w14:paraId="61549AC3" w14:textId="77777777" w:rsidR="00AA71EF" w:rsidRPr="00D969DE" w:rsidRDefault="00AA71EF" w:rsidP="00AA71EF">
      <w:pPr>
        <w:jc w:val="both"/>
        <w:rPr>
          <w:rFonts w:ascii="Arial" w:hAnsi="Arial" w:cs="Arial"/>
          <w:sz w:val="24"/>
          <w:szCs w:val="24"/>
          <w:lang w:val="en-US"/>
        </w:rPr>
      </w:pPr>
      <w:r w:rsidRPr="00D969DE">
        <w:rPr>
          <w:rFonts w:ascii="Arial" w:hAnsi="Arial" w:cs="Arial"/>
          <w:sz w:val="24"/>
          <w:szCs w:val="24"/>
          <w:lang w:val="en-US"/>
        </w:rPr>
        <w:t xml:space="preserve">The highest saturation levels are recorded in </w:t>
      </w:r>
      <w:proofErr w:type="spellStart"/>
      <w:r w:rsidRPr="00D969DE">
        <w:rPr>
          <w:rFonts w:ascii="Arial" w:hAnsi="Arial" w:cs="Arial"/>
          <w:sz w:val="24"/>
          <w:szCs w:val="24"/>
          <w:lang w:val="en-US"/>
        </w:rPr>
        <w:t>Wrocław</w:t>
      </w:r>
      <w:proofErr w:type="spellEnd"/>
      <w:r w:rsidRPr="00D969DE">
        <w:rPr>
          <w:rFonts w:ascii="Arial" w:hAnsi="Arial" w:cs="Arial"/>
          <w:sz w:val="24"/>
          <w:szCs w:val="24"/>
          <w:lang w:val="en-US"/>
        </w:rPr>
        <w:t xml:space="preserve"> and </w:t>
      </w:r>
      <w:proofErr w:type="spellStart"/>
      <w:r w:rsidRPr="00D969DE">
        <w:rPr>
          <w:rFonts w:ascii="Arial" w:hAnsi="Arial" w:cs="Arial"/>
          <w:sz w:val="24"/>
          <w:szCs w:val="24"/>
          <w:lang w:val="en-US"/>
        </w:rPr>
        <w:t>Poznań</w:t>
      </w:r>
      <w:proofErr w:type="spellEnd"/>
      <w:r w:rsidRPr="00D969DE">
        <w:rPr>
          <w:rFonts w:ascii="Arial" w:hAnsi="Arial" w:cs="Arial"/>
          <w:sz w:val="24"/>
          <w:szCs w:val="24"/>
          <w:lang w:val="en-US"/>
        </w:rPr>
        <w:t>, at 1,044 sqm and 1,005 sqm per 1,000 inhabitants respectively.</w:t>
      </w:r>
    </w:p>
    <w:p w14:paraId="05C20AC0" w14:textId="77777777" w:rsidR="00AA71EF" w:rsidRPr="00D969DE" w:rsidRDefault="00AA71EF" w:rsidP="00AA71EF">
      <w:pPr>
        <w:jc w:val="both"/>
        <w:rPr>
          <w:rFonts w:ascii="Arial" w:hAnsi="Arial" w:cs="Arial"/>
          <w:sz w:val="24"/>
          <w:szCs w:val="24"/>
          <w:lang w:val="en-US"/>
        </w:rPr>
      </w:pPr>
      <w:r w:rsidRPr="00D969DE">
        <w:rPr>
          <w:rFonts w:ascii="Arial" w:hAnsi="Arial" w:cs="Arial"/>
          <w:sz w:val="24"/>
          <w:szCs w:val="24"/>
          <w:lang w:val="en-US"/>
        </w:rPr>
        <w:t xml:space="preserve">In H1 2025, the average vacancy rate stood at 2.8%, down by 0.6 percentage points year-on-year. The lowest vacancy levels were recorded in Szczecin (1.8%) and Warsaw (1.9%), while the highest were in </w:t>
      </w:r>
      <w:proofErr w:type="spellStart"/>
      <w:r w:rsidRPr="00D969DE">
        <w:rPr>
          <w:rFonts w:ascii="Arial" w:hAnsi="Arial" w:cs="Arial"/>
          <w:sz w:val="24"/>
          <w:szCs w:val="24"/>
          <w:lang w:val="en-US"/>
        </w:rPr>
        <w:t>Wrocław</w:t>
      </w:r>
      <w:proofErr w:type="spellEnd"/>
      <w:r w:rsidRPr="00D969DE">
        <w:rPr>
          <w:rFonts w:ascii="Arial" w:hAnsi="Arial" w:cs="Arial"/>
          <w:sz w:val="24"/>
          <w:szCs w:val="24"/>
          <w:lang w:val="en-US"/>
        </w:rPr>
        <w:t xml:space="preserve"> (4.1%) and </w:t>
      </w:r>
      <w:proofErr w:type="spellStart"/>
      <w:r w:rsidRPr="00D969DE">
        <w:rPr>
          <w:rFonts w:ascii="Arial" w:hAnsi="Arial" w:cs="Arial"/>
          <w:sz w:val="24"/>
          <w:szCs w:val="24"/>
          <w:lang w:val="en-US"/>
        </w:rPr>
        <w:t>Poznań</w:t>
      </w:r>
      <w:proofErr w:type="spellEnd"/>
      <w:r w:rsidRPr="00D969DE">
        <w:rPr>
          <w:rFonts w:ascii="Arial" w:hAnsi="Arial" w:cs="Arial"/>
          <w:sz w:val="24"/>
          <w:szCs w:val="24"/>
          <w:lang w:val="en-US"/>
        </w:rPr>
        <w:t xml:space="preserve"> (3.6%).</w:t>
      </w:r>
    </w:p>
    <w:p w14:paraId="00232E69" w14:textId="77777777" w:rsidR="00AA71EF" w:rsidRPr="00D969DE" w:rsidRDefault="00AA71EF" w:rsidP="00AA71EF">
      <w:pPr>
        <w:jc w:val="both"/>
        <w:rPr>
          <w:rFonts w:ascii="Arial" w:hAnsi="Arial" w:cs="Arial"/>
          <w:sz w:val="24"/>
          <w:szCs w:val="24"/>
          <w:lang w:val="en-US"/>
        </w:rPr>
      </w:pPr>
      <w:r w:rsidRPr="00D969DE">
        <w:rPr>
          <w:rFonts w:ascii="Arial" w:hAnsi="Arial" w:cs="Arial"/>
          <w:sz w:val="24"/>
          <w:szCs w:val="24"/>
          <w:lang w:val="en-US"/>
        </w:rPr>
        <w:t>In most analyzed agglomerations, vacancy rates edged down, pointing to a balanced market and stable demand.</w:t>
      </w:r>
    </w:p>
    <w:p w14:paraId="60B830A2" w14:textId="77777777" w:rsidR="00AA71EF" w:rsidRPr="00D969DE" w:rsidRDefault="00AA71EF" w:rsidP="00AA71EF">
      <w:pPr>
        <w:jc w:val="both"/>
        <w:rPr>
          <w:rFonts w:ascii="Arial" w:hAnsi="Arial" w:cs="Arial"/>
          <w:sz w:val="24"/>
          <w:szCs w:val="24"/>
          <w:lang w:val="en-US"/>
        </w:rPr>
      </w:pPr>
    </w:p>
    <w:p w14:paraId="152EA36D" w14:textId="77777777" w:rsidR="00AA71EF" w:rsidRPr="00D969DE" w:rsidRDefault="00AA71EF" w:rsidP="00AA71EF">
      <w:pPr>
        <w:jc w:val="both"/>
        <w:rPr>
          <w:rFonts w:ascii="Arial" w:hAnsi="Arial" w:cs="Arial"/>
          <w:b/>
          <w:bCs/>
          <w:color w:val="00AA48"/>
          <w:sz w:val="24"/>
          <w:szCs w:val="24"/>
          <w:lang w:val="en-US"/>
        </w:rPr>
      </w:pPr>
      <w:r w:rsidRPr="00D969DE">
        <w:rPr>
          <w:rFonts w:ascii="Arial" w:hAnsi="Arial" w:cs="Arial"/>
          <w:b/>
          <w:bCs/>
          <w:color w:val="00AA48"/>
          <w:sz w:val="24"/>
          <w:szCs w:val="24"/>
          <w:lang w:val="en-US"/>
        </w:rPr>
        <w:lastRenderedPageBreak/>
        <w:t>Improving retail performance and rental pressure</w:t>
      </w:r>
    </w:p>
    <w:p w14:paraId="39405607" w14:textId="77777777" w:rsidR="00AA71EF" w:rsidRPr="00D969DE" w:rsidRDefault="00AA71EF" w:rsidP="00AA71EF">
      <w:pPr>
        <w:jc w:val="both"/>
        <w:rPr>
          <w:rFonts w:ascii="Arial" w:hAnsi="Arial" w:cs="Arial"/>
          <w:sz w:val="24"/>
          <w:szCs w:val="24"/>
          <w:lang w:val="en-US"/>
        </w:rPr>
      </w:pPr>
      <w:r w:rsidRPr="00D969DE">
        <w:rPr>
          <w:rFonts w:ascii="Arial" w:hAnsi="Arial" w:cs="Arial"/>
          <w:sz w:val="24"/>
          <w:szCs w:val="24"/>
          <w:lang w:val="en-US"/>
        </w:rPr>
        <w:t>Market performance data also shows an improvement in retail sales. In February 2026, turnover was up by 1.7% year-on-year, despite a 0.9% drop in footfall.</w:t>
      </w:r>
    </w:p>
    <w:p w14:paraId="743124AE" w14:textId="77777777" w:rsidR="00AA71EF" w:rsidRPr="00D969DE" w:rsidRDefault="00AA71EF" w:rsidP="00AA71EF">
      <w:pPr>
        <w:jc w:val="both"/>
        <w:rPr>
          <w:rFonts w:ascii="Arial" w:hAnsi="Arial" w:cs="Arial"/>
          <w:sz w:val="24"/>
          <w:szCs w:val="24"/>
          <w:lang w:val="en-US"/>
        </w:rPr>
      </w:pPr>
      <w:r w:rsidRPr="00D969DE">
        <w:rPr>
          <w:rFonts w:ascii="Arial" w:hAnsi="Arial" w:cs="Arial"/>
          <w:sz w:val="24"/>
          <w:szCs w:val="24"/>
          <w:lang w:val="en-US"/>
        </w:rPr>
        <w:t>According to Statistics Poland (GUS), both retail and online sales increased in February 2026, by 5% and 9.3% year-on-year respectively.</w:t>
      </w:r>
    </w:p>
    <w:p w14:paraId="207E1F89" w14:textId="3693548D" w:rsidR="00AA71EF" w:rsidRPr="00D969DE" w:rsidRDefault="00AA71EF" w:rsidP="00AA71EF">
      <w:pPr>
        <w:jc w:val="both"/>
        <w:rPr>
          <w:rFonts w:ascii="Arial" w:hAnsi="Arial" w:cs="Arial"/>
          <w:sz w:val="24"/>
          <w:szCs w:val="24"/>
          <w:lang w:val="en-US"/>
        </w:rPr>
      </w:pPr>
      <w:r w:rsidRPr="00D969DE">
        <w:rPr>
          <w:rFonts w:ascii="Arial" w:hAnsi="Arial" w:cs="Arial"/>
          <w:sz w:val="24"/>
          <w:szCs w:val="24"/>
          <w:lang w:val="en-US"/>
        </w:rPr>
        <w:t>Q1 also saw new brands rolling out in Poland, including:</w:t>
      </w:r>
    </w:p>
    <w:p w14:paraId="218C8212" w14:textId="5D44D981" w:rsidR="00AA71EF" w:rsidRPr="00D969DE" w:rsidRDefault="00AA71EF" w:rsidP="00D969DE">
      <w:pPr>
        <w:pStyle w:val="ListParagraph"/>
        <w:numPr>
          <w:ilvl w:val="0"/>
          <w:numId w:val="3"/>
        </w:numPr>
        <w:jc w:val="both"/>
        <w:rPr>
          <w:rFonts w:ascii="Arial" w:hAnsi="Arial" w:cs="Arial"/>
          <w:sz w:val="24"/>
          <w:szCs w:val="24"/>
          <w:lang w:val="en-US"/>
        </w:rPr>
      </w:pPr>
      <w:r w:rsidRPr="00D969DE">
        <w:rPr>
          <w:rFonts w:ascii="Arial" w:hAnsi="Arial" w:cs="Arial"/>
          <w:sz w:val="24"/>
          <w:szCs w:val="24"/>
          <w:lang w:val="en-US"/>
        </w:rPr>
        <w:t>Canadian brand Lululemon</w:t>
      </w:r>
    </w:p>
    <w:p w14:paraId="2666A1F7" w14:textId="3BF8EFB0" w:rsidR="00AA71EF" w:rsidRPr="00D969DE" w:rsidRDefault="00AA71EF" w:rsidP="00D969DE">
      <w:pPr>
        <w:pStyle w:val="ListParagraph"/>
        <w:numPr>
          <w:ilvl w:val="0"/>
          <w:numId w:val="3"/>
        </w:numPr>
        <w:jc w:val="both"/>
        <w:rPr>
          <w:rFonts w:ascii="Arial" w:hAnsi="Arial" w:cs="Arial"/>
          <w:sz w:val="24"/>
          <w:szCs w:val="24"/>
          <w:lang w:val="en-US"/>
        </w:rPr>
      </w:pPr>
      <w:r w:rsidRPr="00D969DE">
        <w:rPr>
          <w:rFonts w:ascii="Arial" w:hAnsi="Arial" w:cs="Arial"/>
          <w:sz w:val="24"/>
          <w:szCs w:val="24"/>
          <w:lang w:val="en-US"/>
        </w:rPr>
        <w:t>Asian chain XIMI V</w:t>
      </w:r>
    </w:p>
    <w:p w14:paraId="4A6047C3" w14:textId="63BE3CA5" w:rsidR="00AA71EF" w:rsidRPr="00D969DE" w:rsidRDefault="00AA71EF" w:rsidP="00D969DE">
      <w:pPr>
        <w:pStyle w:val="ListParagraph"/>
        <w:numPr>
          <w:ilvl w:val="0"/>
          <w:numId w:val="3"/>
        </w:numPr>
        <w:jc w:val="both"/>
        <w:rPr>
          <w:rFonts w:ascii="Arial" w:hAnsi="Arial" w:cs="Arial"/>
          <w:sz w:val="24"/>
          <w:szCs w:val="24"/>
          <w:lang w:val="en-US"/>
        </w:rPr>
      </w:pPr>
      <w:r w:rsidRPr="00D969DE">
        <w:rPr>
          <w:rFonts w:ascii="Arial" w:hAnsi="Arial" w:cs="Arial"/>
          <w:sz w:val="24"/>
          <w:szCs w:val="24"/>
          <w:lang w:val="en-US"/>
        </w:rPr>
        <w:t xml:space="preserve">Online concept </w:t>
      </w:r>
      <w:proofErr w:type="spellStart"/>
      <w:r w:rsidRPr="00D969DE">
        <w:rPr>
          <w:rFonts w:ascii="Arial" w:hAnsi="Arial" w:cs="Arial"/>
          <w:sz w:val="24"/>
          <w:szCs w:val="24"/>
          <w:lang w:val="en-US"/>
        </w:rPr>
        <w:t>Søstrene</w:t>
      </w:r>
      <w:proofErr w:type="spellEnd"/>
      <w:r w:rsidRPr="00D969DE">
        <w:rPr>
          <w:rFonts w:ascii="Arial" w:hAnsi="Arial" w:cs="Arial"/>
          <w:sz w:val="24"/>
          <w:szCs w:val="24"/>
          <w:lang w:val="en-US"/>
        </w:rPr>
        <w:t xml:space="preserve"> Grene, which has also announced plans to open a physical store in Warsaw</w:t>
      </w:r>
    </w:p>
    <w:p w14:paraId="2C3DA0F4" w14:textId="77777777" w:rsidR="00AA71EF" w:rsidRPr="00D969DE" w:rsidRDefault="00AA71EF" w:rsidP="00AA71EF">
      <w:pPr>
        <w:jc w:val="both"/>
        <w:rPr>
          <w:rFonts w:ascii="Arial" w:hAnsi="Arial" w:cs="Arial"/>
          <w:sz w:val="24"/>
          <w:szCs w:val="24"/>
          <w:lang w:val="en-US"/>
        </w:rPr>
      </w:pPr>
      <w:r w:rsidRPr="00D969DE">
        <w:rPr>
          <w:rFonts w:ascii="Arial" w:hAnsi="Arial" w:cs="Arial"/>
          <w:sz w:val="24"/>
          <w:szCs w:val="24"/>
          <w:lang w:val="en-US"/>
        </w:rPr>
        <w:t>A clear improvement in retail conditions and real growth in retail sales are now feeding into rental increases across most formats.</w:t>
      </w:r>
    </w:p>
    <w:p w14:paraId="05B4AC78" w14:textId="74A59A1A" w:rsidR="00AA71EF" w:rsidRPr="00D969DE" w:rsidRDefault="00AA71EF" w:rsidP="00AA71EF">
      <w:pPr>
        <w:jc w:val="both"/>
        <w:rPr>
          <w:rFonts w:ascii="Arial" w:hAnsi="Arial" w:cs="Arial"/>
          <w:sz w:val="24"/>
          <w:szCs w:val="24"/>
          <w:lang w:val="en-US"/>
        </w:rPr>
      </w:pPr>
      <w:r w:rsidRPr="00D969DE">
        <w:rPr>
          <w:rFonts w:ascii="Arial" w:hAnsi="Arial" w:cs="Arial"/>
          <w:sz w:val="24"/>
          <w:szCs w:val="24"/>
          <w:lang w:val="en-US"/>
        </w:rPr>
        <w:t>“The strongest upward pressure was seen in prime shopping centers and the most attractive units between 100 and 500 sqm. Further increases in top malls are likely in the coming months, while in retail parks, lease renewals from the pandemic period may lead to local rent adjustments for selected sectors and formats,”</w:t>
      </w:r>
      <w:r w:rsidR="00A06A7D">
        <w:rPr>
          <w:rFonts w:ascii="Arial" w:hAnsi="Arial" w:cs="Arial"/>
          <w:sz w:val="24"/>
          <w:szCs w:val="24"/>
          <w:lang w:val="en-US"/>
        </w:rPr>
        <w:t xml:space="preserve"> </w:t>
      </w:r>
      <w:r w:rsidRPr="00D969DE">
        <w:rPr>
          <w:rFonts w:ascii="Arial" w:hAnsi="Arial" w:cs="Arial"/>
          <w:sz w:val="24"/>
          <w:szCs w:val="24"/>
          <w:lang w:val="en-US"/>
        </w:rPr>
        <w:t xml:space="preserve">notes </w:t>
      </w:r>
      <w:r w:rsidRPr="00D969DE">
        <w:rPr>
          <w:rFonts w:ascii="Arial" w:hAnsi="Arial" w:cs="Arial"/>
          <w:b/>
          <w:bCs/>
          <w:sz w:val="24"/>
          <w:szCs w:val="24"/>
          <w:lang w:val="en-US"/>
        </w:rPr>
        <w:t>Renata Weikert, Senior Consultant, Office Agency at BNP Paribas Real Estate Poland</w:t>
      </w:r>
      <w:r w:rsidRPr="00D969DE">
        <w:rPr>
          <w:rFonts w:ascii="Arial" w:hAnsi="Arial" w:cs="Arial"/>
          <w:sz w:val="24"/>
          <w:szCs w:val="24"/>
          <w:lang w:val="en-US"/>
        </w:rPr>
        <w:t>.</w:t>
      </w:r>
    </w:p>
    <w:p w14:paraId="3E13D319" w14:textId="16F21222" w:rsidR="00770F9C" w:rsidRPr="00D969DE" w:rsidRDefault="00770F9C" w:rsidP="00036B49">
      <w:pPr>
        <w:jc w:val="both"/>
        <w:rPr>
          <w:rFonts w:ascii="Arial" w:hAnsi="Arial" w:cs="Arial"/>
          <w:noProof/>
          <w:lang w:val="en-US"/>
        </w:rPr>
      </w:pPr>
    </w:p>
    <w:p w14:paraId="62ACCEEB" w14:textId="77777777" w:rsidR="000627B3" w:rsidRPr="00D969DE" w:rsidRDefault="000627B3" w:rsidP="00036B49">
      <w:pPr>
        <w:jc w:val="both"/>
        <w:rPr>
          <w:rFonts w:ascii="Arial" w:hAnsi="Arial" w:cs="Arial"/>
          <w:noProof/>
          <w:lang w:val="en-US"/>
        </w:rPr>
      </w:pPr>
    </w:p>
    <w:p w14:paraId="77E07727" w14:textId="77777777" w:rsidR="000627B3" w:rsidRPr="00D969DE" w:rsidRDefault="000627B3" w:rsidP="00036B49">
      <w:pPr>
        <w:jc w:val="both"/>
        <w:rPr>
          <w:rFonts w:ascii="Arial" w:hAnsi="Arial" w:cs="Arial"/>
          <w:noProof/>
          <w:lang w:val="en-US"/>
        </w:rPr>
      </w:pPr>
    </w:p>
    <w:p w14:paraId="3E7B738D" w14:textId="77777777" w:rsidR="0095020C" w:rsidRPr="00D969DE" w:rsidRDefault="0095020C" w:rsidP="00036B49">
      <w:pPr>
        <w:jc w:val="both"/>
        <w:rPr>
          <w:rFonts w:ascii="Arial" w:hAnsi="Arial" w:cs="Arial"/>
          <w:noProof/>
          <w:lang w:val="en-US"/>
        </w:rPr>
      </w:pPr>
    </w:p>
    <w:p w14:paraId="2E6A83C6" w14:textId="75230244" w:rsidR="0095020C" w:rsidRPr="00435A4E" w:rsidRDefault="00882884" w:rsidP="00036B49">
      <w:pPr>
        <w:jc w:val="both"/>
        <w:rPr>
          <w:rFonts w:ascii="Arial" w:hAnsi="Arial" w:cs="Arial"/>
        </w:rPr>
      </w:pPr>
      <w:r>
        <w:rPr>
          <w:noProof/>
        </w:rPr>
        <w:drawing>
          <wp:inline distT="0" distB="0" distL="0" distR="0" wp14:anchorId="05DE58A7" wp14:editId="398BAE46">
            <wp:extent cx="5760720" cy="2199005"/>
            <wp:effectExtent l="0" t="0" r="0" b="0"/>
            <wp:docPr id="1743314655" name="Obraz 1" descr="Group 7, Obiekt zgrupowany">
              <a:extLst xmlns:a="http://schemas.openxmlformats.org/drawingml/2006/main">
                <a:ext uri="{FF2B5EF4-FFF2-40B4-BE49-F238E27FC236}">
                  <a16:creationId xmlns:a16="http://schemas.microsoft.com/office/drawing/2014/main" id="{D4CDFBD1-C2C8-4E8D-96C7-B046F73F33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7, Obiekt zgrupowan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199005"/>
                    </a:xfrm>
                    <a:prstGeom prst="rect">
                      <a:avLst/>
                    </a:prstGeom>
                    <a:noFill/>
                    <a:ln>
                      <a:noFill/>
                    </a:ln>
                  </pic:spPr>
                </pic:pic>
              </a:graphicData>
            </a:graphic>
          </wp:inline>
        </w:drawing>
      </w:r>
    </w:p>
    <w:p w14:paraId="4F73F192" w14:textId="0A964B25" w:rsidR="00176FDA" w:rsidRPr="00435A4E" w:rsidRDefault="00176FDA" w:rsidP="00036B49">
      <w:pPr>
        <w:jc w:val="both"/>
        <w:rPr>
          <w:rFonts w:ascii="Arial" w:hAnsi="Arial" w:cs="Arial"/>
        </w:rPr>
      </w:pPr>
      <w:r w:rsidRPr="00435A4E">
        <w:rPr>
          <w:rFonts w:ascii="Arial" w:hAnsi="Arial" w:cs="Arial"/>
          <w:noProof/>
        </w:rPr>
        <w:drawing>
          <wp:inline distT="0" distB="0" distL="0" distR="0" wp14:anchorId="0AF8E768" wp14:editId="1FE62BB0">
            <wp:extent cx="5760720" cy="565150"/>
            <wp:effectExtent l="0" t="0" r="0" b="6350"/>
            <wp:docPr id="239835306" name="Obraz 3" descr="Pole tekstowe">
              <a:extLst xmlns:a="http://schemas.openxmlformats.org/drawingml/2006/main">
                <a:ext uri="{FF2B5EF4-FFF2-40B4-BE49-F238E27FC236}">
                  <a16:creationId xmlns:a16="http://schemas.microsoft.com/office/drawing/2014/main" id="{C32A3580-532C-4608-AB61-1E082DAAB6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le tekstow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65150"/>
                    </a:xfrm>
                    <a:prstGeom prst="rect">
                      <a:avLst/>
                    </a:prstGeom>
                    <a:noFill/>
                    <a:ln>
                      <a:noFill/>
                    </a:ln>
                  </pic:spPr>
                </pic:pic>
              </a:graphicData>
            </a:graphic>
          </wp:inline>
        </w:drawing>
      </w:r>
    </w:p>
    <w:sectPr w:rsidR="00176FDA" w:rsidRPr="00435A4E" w:rsidSect="00B40516">
      <w:headerReference w:type="default" r:id="rId12"/>
      <w:footerReference w:type="even" r:id="rId13"/>
      <w:footerReference w:type="default" r:id="rId14"/>
      <w:footerReference w:type="first" r:id="rId15"/>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A98C8" w14:textId="77777777" w:rsidR="009136B1" w:rsidRDefault="009136B1" w:rsidP="006B472C">
      <w:pPr>
        <w:spacing w:after="0" w:line="240" w:lineRule="auto"/>
      </w:pPr>
      <w:r>
        <w:separator/>
      </w:r>
    </w:p>
  </w:endnote>
  <w:endnote w:type="continuationSeparator" w:id="0">
    <w:p w14:paraId="0CC025B7" w14:textId="77777777" w:rsidR="009136B1" w:rsidRDefault="009136B1" w:rsidP="006B4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0C84" w14:textId="48DE1B4B" w:rsidR="000E437B" w:rsidRDefault="000E437B">
    <w:pPr>
      <w:pStyle w:val="Footer"/>
    </w:pPr>
    <w:r>
      <w:rPr>
        <w:noProof/>
      </w:rPr>
      <mc:AlternateContent>
        <mc:Choice Requires="wps">
          <w:drawing>
            <wp:anchor distT="0" distB="0" distL="0" distR="0" simplePos="0" relativeHeight="251659264" behindDoc="0" locked="0" layoutInCell="1" allowOverlap="1" wp14:anchorId="0BC9F766" wp14:editId="0D51CBFC">
              <wp:simplePos x="635" y="635"/>
              <wp:positionH relativeFrom="page">
                <wp:align>right</wp:align>
              </wp:positionH>
              <wp:positionV relativeFrom="page">
                <wp:align>bottom</wp:align>
              </wp:positionV>
              <wp:extent cx="1518285" cy="357505"/>
              <wp:effectExtent l="0" t="0" r="0" b="0"/>
              <wp:wrapNone/>
              <wp:docPr id="1657550101" name="Text Box 2"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8285" cy="357505"/>
                      </a:xfrm>
                      <a:prstGeom prst="rect">
                        <a:avLst/>
                      </a:prstGeom>
                      <a:noFill/>
                      <a:ln>
                        <a:noFill/>
                      </a:ln>
                    </wps:spPr>
                    <wps:txbx>
                      <w:txbxContent>
                        <w:p w14:paraId="72DE48DE" w14:textId="549E56E5" w:rsidR="000E437B" w:rsidRPr="000E437B" w:rsidRDefault="000E437B" w:rsidP="000E437B">
                          <w:pPr>
                            <w:spacing w:after="0"/>
                            <w:rPr>
                              <w:rFonts w:ascii="Aptos" w:eastAsia="Aptos" w:hAnsi="Aptos" w:cs="Aptos"/>
                              <w:noProof/>
                              <w:color w:val="0078D7"/>
                              <w:sz w:val="20"/>
                              <w:szCs w:val="20"/>
                            </w:rPr>
                          </w:pPr>
                          <w:r w:rsidRPr="000E437B">
                            <w:rPr>
                              <w:rFonts w:ascii="Aptos" w:eastAsia="Aptos" w:hAnsi="Aptos" w:cs="Aptos"/>
                              <w:noProof/>
                              <w:color w:val="0078D7"/>
                              <w:sz w:val="20"/>
                              <w:szCs w:val="20"/>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BC9F766" id="_x0000_t202" coordsize="21600,21600" o:spt="202" path="m,l,21600r21600,l21600,xe">
              <v:stroke joinstyle="miter"/>
              <v:path gradientshapeok="t" o:connecttype="rect"/>
            </v:shapetype>
            <v:shape id="Text Box 2" o:spid="_x0000_s1027" type="#_x0000_t202" alt="Classification : Internal" style="position:absolute;margin-left:68.35pt;margin-top:0;width:119.5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" filled="f" stroked="f">
              <v:textbox style="mso-fit-shape-to-text:t" inset="0,0,20pt,15pt">
                <w:txbxContent>
                  <w:p w14:paraId="72DE48DE" w14:textId="549E56E5" w:rsidR="000E437B" w:rsidRPr="000E437B" w:rsidRDefault="000E437B" w:rsidP="000E437B">
                    <w:pPr>
                      <w:spacing w:after="0"/>
                      <w:rPr>
                        <w:rFonts w:ascii="Aptos" w:eastAsia="Aptos" w:hAnsi="Aptos" w:cs="Aptos"/>
                        <w:noProof/>
                        <w:color w:val="0078D7"/>
                        <w:sz w:val="20"/>
                        <w:szCs w:val="20"/>
                      </w:rPr>
                    </w:pPr>
                    <w:r w:rsidRPr="000E437B">
                      <w:rPr>
                        <w:rFonts w:ascii="Aptos" w:eastAsia="Aptos" w:hAnsi="Aptos" w:cs="Aptos"/>
                        <w:noProof/>
                        <w:color w:val="0078D7"/>
                        <w:sz w:val="20"/>
                        <w:szCs w:val="20"/>
                      </w:rPr>
                      <w:t>Classification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2B31" w14:textId="49BC57FA" w:rsidR="00DE4EFA" w:rsidRPr="00DE4EFA" w:rsidRDefault="000E437B">
    <w:pPr>
      <w:pStyle w:val="Footer"/>
      <w:rPr>
        <w:rFonts w:ascii="Segoe UI" w:hAnsi="Segoe UI" w:cs="Segoe UI"/>
        <w:noProof/>
        <w:color w:val="000000"/>
        <w:sz w:val="12"/>
        <w:szCs w:val="12"/>
        <w:shd w:val="clear" w:color="auto" w:fill="FFFFFF"/>
      </w:rPr>
    </w:pPr>
    <w:r>
      <w:rPr>
        <w:rFonts w:ascii="Segoe UI" w:hAnsi="Segoe UI" w:cs="Segoe UI"/>
        <w:noProof/>
        <w:color w:val="000000"/>
        <w:sz w:val="12"/>
        <w:szCs w:val="12"/>
      </w:rPr>
      <mc:AlternateContent>
        <mc:Choice Requires="wps">
          <w:drawing>
            <wp:anchor distT="0" distB="0" distL="0" distR="0" simplePos="0" relativeHeight="251660288" behindDoc="0" locked="0" layoutInCell="1" allowOverlap="1" wp14:anchorId="5987F254" wp14:editId="715B0FDA">
              <wp:simplePos x="901700" y="9690100"/>
              <wp:positionH relativeFrom="page">
                <wp:align>right</wp:align>
              </wp:positionH>
              <wp:positionV relativeFrom="page">
                <wp:align>bottom</wp:align>
              </wp:positionV>
              <wp:extent cx="1518285" cy="357505"/>
              <wp:effectExtent l="0" t="0" r="0" b="0"/>
              <wp:wrapNone/>
              <wp:docPr id="1205761030" name="Text Box 3"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8285" cy="357505"/>
                      </a:xfrm>
                      <a:prstGeom prst="rect">
                        <a:avLst/>
                      </a:prstGeom>
                      <a:noFill/>
                      <a:ln>
                        <a:noFill/>
                      </a:ln>
                    </wps:spPr>
                    <wps:txbx>
                      <w:txbxContent>
                        <w:p w14:paraId="13C3BFF3" w14:textId="57A79296" w:rsidR="000E437B" w:rsidRPr="000E437B" w:rsidRDefault="000E437B" w:rsidP="000E437B">
                          <w:pPr>
                            <w:spacing w:after="0"/>
                            <w:rPr>
                              <w:rFonts w:ascii="Aptos" w:eastAsia="Aptos" w:hAnsi="Aptos" w:cs="Aptos"/>
                              <w:noProof/>
                              <w:color w:val="0078D7"/>
                              <w:sz w:val="20"/>
                              <w:szCs w:val="20"/>
                            </w:rPr>
                          </w:pPr>
                          <w:r w:rsidRPr="000E437B">
                            <w:rPr>
                              <w:rFonts w:ascii="Aptos" w:eastAsia="Aptos" w:hAnsi="Aptos" w:cs="Aptos"/>
                              <w:noProof/>
                              <w:color w:val="0078D7"/>
                              <w:sz w:val="20"/>
                              <w:szCs w:val="20"/>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87F254" id="_x0000_t202" coordsize="21600,21600" o:spt="202" path="m,l,21600r21600,l21600,xe">
              <v:stroke joinstyle="miter"/>
              <v:path gradientshapeok="t" o:connecttype="rect"/>
            </v:shapetype>
            <v:shape id="Text Box 3" o:spid="_x0000_s1028" type="#_x0000_t202" alt="Classification : Internal" style="position:absolute;margin-left:68.35pt;margin-top:0;width:119.5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" filled="f" stroked="f">
              <v:textbox style="mso-fit-shape-to-text:t" inset="0,0,20pt,15pt">
                <w:txbxContent>
                  <w:p w14:paraId="13C3BFF3" w14:textId="57A79296" w:rsidR="000E437B" w:rsidRPr="000E437B" w:rsidRDefault="000E437B" w:rsidP="000E437B">
                    <w:pPr>
                      <w:spacing w:after="0"/>
                      <w:rPr>
                        <w:rFonts w:ascii="Aptos" w:eastAsia="Aptos" w:hAnsi="Aptos" w:cs="Aptos"/>
                        <w:noProof/>
                        <w:color w:val="0078D7"/>
                        <w:sz w:val="20"/>
                        <w:szCs w:val="20"/>
                      </w:rPr>
                    </w:pPr>
                    <w:r w:rsidRPr="000E437B">
                      <w:rPr>
                        <w:rFonts w:ascii="Aptos" w:eastAsia="Aptos" w:hAnsi="Aptos" w:cs="Aptos"/>
                        <w:noProof/>
                        <w:color w:val="0078D7"/>
                        <w:sz w:val="20"/>
                        <w:szCs w:val="20"/>
                      </w:rPr>
                      <w:t>Classification : Internal</w:t>
                    </w:r>
                  </w:p>
                </w:txbxContent>
              </v:textbox>
              <w10:wrap anchorx="page" anchory="page"/>
            </v:shape>
          </w:pict>
        </mc:Fallback>
      </mc:AlternateContent>
    </w:r>
    <w:r w:rsidR="00DE4EFA">
      <w:rPr>
        <w:rStyle w:val="wacimagecontainer"/>
        <w:rFonts w:ascii="Segoe UI" w:hAnsi="Segoe UI" w:cs="Segoe UI"/>
        <w:noProof/>
        <w:color w:val="000000"/>
        <w:sz w:val="12"/>
        <w:szCs w:val="12"/>
      </w:rPr>
      <w:t xml:space="preserve"> </w:t>
    </w:r>
    <w:r w:rsidR="00DE4EFA">
      <w:rPr>
        <w:rStyle w:val="wacimagecontainer"/>
        <w:rFonts w:ascii="Segoe UI" w:hAnsi="Segoe UI" w:cs="Segoe UI"/>
        <w:noProof/>
        <w:color w:val="000000"/>
        <w:sz w:val="12"/>
        <w:szCs w:val="12"/>
      </w:rPr>
      <w:drawing>
        <wp:inline distT="0" distB="0" distL="0" distR="0" wp14:anchorId="2BA25DB4" wp14:editId="319C113B">
          <wp:extent cx="2636520" cy="502920"/>
          <wp:effectExtent l="0" t="0" r="0" b="0"/>
          <wp:docPr id="866661979" name="Obraz 8" descr="Obraz zawierający Czcionka, tekst, Grafika, symbol&#10;&#10;Opis wygenerowany automatycznie">
            <a:extLst xmlns:a="http://schemas.openxmlformats.org/drawingml/2006/main">
              <a:ext uri="{FF2B5EF4-FFF2-40B4-BE49-F238E27FC236}">
                <a16:creationId xmlns:a16="http://schemas.microsoft.com/office/drawing/2014/main" id="{02C88079-3311-4700-836E-F81516D48F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61979" name="Obraz 8" descr="Obraz zawierający Czcionka, tekst, Grafika, symbol&#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6520" cy="502920"/>
                  </a:xfrm>
                  <a:prstGeom prst="rect">
                    <a:avLst/>
                  </a:prstGeom>
                  <a:noFill/>
                  <a:ln>
                    <a:noFill/>
                  </a:ln>
                </pic:spPr>
              </pic:pic>
            </a:graphicData>
          </a:graphic>
        </wp:inline>
      </w:drawing>
    </w:r>
    <w:r w:rsidR="00DE4EFA">
      <w:rPr>
        <w:rStyle w:val="wacimagecontainer"/>
        <w:rFonts w:ascii="Segoe UI" w:hAnsi="Segoe UI" w:cs="Segoe UI"/>
        <w:noProof/>
        <w:color w:val="000000"/>
        <w:sz w:val="12"/>
        <w:szCs w:val="12"/>
        <w:shd w:val="clear" w:color="auto" w:fill="FFFFFF"/>
      </w:rPr>
      <w:t xml:space="preserve">                                                                                              </w:t>
    </w:r>
    <w:r w:rsidR="00DE4EFA">
      <w:rPr>
        <w:rStyle w:val="wacimagecontainer"/>
        <w:rFonts w:ascii="Segoe UI" w:hAnsi="Segoe UI" w:cs="Segoe UI"/>
        <w:noProof/>
        <w:color w:val="000000"/>
        <w:sz w:val="12"/>
        <w:szCs w:val="12"/>
        <w:shd w:val="clear" w:color="auto" w:fill="FFFFFF"/>
      </w:rPr>
      <w:drawing>
        <wp:inline distT="0" distB="0" distL="0" distR="0" wp14:anchorId="6B966339" wp14:editId="0D27E26E">
          <wp:extent cx="1127760" cy="541020"/>
          <wp:effectExtent l="0" t="0" r="0" b="0"/>
          <wp:docPr id="1796209254" name="Obraz 9" descr="Obraz zawierający tekst, narzędzie, design&#10;&#10;Opis wygenerowany automatycznie">
            <a:extLst xmlns:a="http://schemas.openxmlformats.org/drawingml/2006/main">
              <a:ext uri="{FF2B5EF4-FFF2-40B4-BE49-F238E27FC236}">
                <a16:creationId xmlns:a16="http://schemas.microsoft.com/office/drawing/2014/main" id="{70B2FD1A-76DC-46FE-B470-B44818507A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209254" name="Obraz 9" descr="Obraz zawierający tekst, narzędzie, design&#10;&#10;Opis wygenerowany automatycznie"/>
                  <pic:cNvPicPr>
                    <a:picLocks noChangeAspect="1" noChangeArrowheads="1"/>
                  </pic:cNvPicPr>
                </pic:nvPicPr>
                <pic:blipFill rotWithShape="1">
                  <a:blip r:embed="rId2">
                    <a:extLst>
                      <a:ext uri="{28A0092B-C50C-407E-A947-70E740481C1C}">
                        <a14:useLocalDpi xmlns:a14="http://schemas.microsoft.com/office/drawing/2010/main" val="0"/>
                      </a:ext>
                    </a:extLst>
                  </a:blip>
                  <a:srcRect t="17544" b="20176"/>
                  <a:stretch/>
                </pic:blipFill>
                <pic:spPr bwMode="auto">
                  <a:xfrm>
                    <a:off x="0" y="0"/>
                    <a:ext cx="1127760" cy="541020"/>
                  </a:xfrm>
                  <a:prstGeom prst="rect">
                    <a:avLst/>
                  </a:prstGeom>
                  <a:noFill/>
                  <a:ln>
                    <a:noFill/>
                  </a:ln>
                  <a:extLst>
                    <a:ext uri="{53640926-AAD7-44D8-BBD7-CCE9431645EC}">
                      <a14:shadowObscured xmlns:a14="http://schemas.microsoft.com/office/drawing/2010/main"/>
                    </a:ext>
                  </a:extLst>
                </pic:spPr>
              </pic:pic>
            </a:graphicData>
          </a:graphic>
        </wp:inline>
      </w:drawing>
    </w:r>
  </w:p>
  <w:p w14:paraId="67798765" w14:textId="44CDF678" w:rsidR="006B472C" w:rsidRPr="006B472C" w:rsidRDefault="006B472C" w:rsidP="006B4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91C0" w14:textId="5EE842E9" w:rsidR="000E437B" w:rsidRDefault="000E437B">
    <w:pPr>
      <w:pStyle w:val="Footer"/>
    </w:pPr>
    <w:r>
      <w:rPr>
        <w:noProof/>
      </w:rPr>
      <mc:AlternateContent>
        <mc:Choice Requires="wps">
          <w:drawing>
            <wp:anchor distT="0" distB="0" distL="0" distR="0" simplePos="0" relativeHeight="251658240" behindDoc="0" locked="0" layoutInCell="1" allowOverlap="1" wp14:anchorId="0F5BCD66" wp14:editId="759E4FEA">
              <wp:simplePos x="635" y="635"/>
              <wp:positionH relativeFrom="page">
                <wp:align>right</wp:align>
              </wp:positionH>
              <wp:positionV relativeFrom="page">
                <wp:align>bottom</wp:align>
              </wp:positionV>
              <wp:extent cx="1518285" cy="357505"/>
              <wp:effectExtent l="0" t="0" r="0" b="0"/>
              <wp:wrapNone/>
              <wp:docPr id="369667021" name="Text Box 1"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8285" cy="357505"/>
                      </a:xfrm>
                      <a:prstGeom prst="rect">
                        <a:avLst/>
                      </a:prstGeom>
                      <a:noFill/>
                      <a:ln>
                        <a:noFill/>
                      </a:ln>
                    </wps:spPr>
                    <wps:txbx>
                      <w:txbxContent>
                        <w:p w14:paraId="304F2C60" w14:textId="6866205C" w:rsidR="000E437B" w:rsidRPr="000E437B" w:rsidRDefault="000E437B" w:rsidP="000E437B">
                          <w:pPr>
                            <w:spacing w:after="0"/>
                            <w:rPr>
                              <w:rFonts w:ascii="Aptos" w:eastAsia="Aptos" w:hAnsi="Aptos" w:cs="Aptos"/>
                              <w:noProof/>
                              <w:color w:val="0078D7"/>
                              <w:sz w:val="20"/>
                              <w:szCs w:val="20"/>
                            </w:rPr>
                          </w:pPr>
                          <w:r w:rsidRPr="000E437B">
                            <w:rPr>
                              <w:rFonts w:ascii="Aptos" w:eastAsia="Aptos" w:hAnsi="Aptos" w:cs="Aptos"/>
                              <w:noProof/>
                              <w:color w:val="0078D7"/>
                              <w:sz w:val="20"/>
                              <w:szCs w:val="20"/>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5BCD66" id="_x0000_t202" coordsize="21600,21600" o:spt="202" path="m,l,21600r21600,l21600,xe">
              <v:stroke joinstyle="miter"/>
              <v:path gradientshapeok="t" o:connecttype="rect"/>
            </v:shapetype>
            <v:shape id="Text Box 1" o:spid="_x0000_s1029" type="#_x0000_t202" alt="Classification : Internal" style="position:absolute;margin-left:68.35pt;margin-top:0;width:119.5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" filled="f" stroked="f">
              <v:textbox style="mso-fit-shape-to-text:t" inset="0,0,20pt,15pt">
                <w:txbxContent>
                  <w:p w14:paraId="304F2C60" w14:textId="6866205C" w:rsidR="000E437B" w:rsidRPr="000E437B" w:rsidRDefault="000E437B" w:rsidP="000E437B">
                    <w:pPr>
                      <w:spacing w:after="0"/>
                      <w:rPr>
                        <w:rFonts w:ascii="Aptos" w:eastAsia="Aptos" w:hAnsi="Aptos" w:cs="Aptos"/>
                        <w:noProof/>
                        <w:color w:val="0078D7"/>
                        <w:sz w:val="20"/>
                        <w:szCs w:val="20"/>
                      </w:rPr>
                    </w:pPr>
                    <w:r w:rsidRPr="000E437B">
                      <w:rPr>
                        <w:rFonts w:ascii="Aptos" w:eastAsia="Aptos" w:hAnsi="Aptos" w:cs="Aptos"/>
                        <w:noProof/>
                        <w:color w:val="0078D7"/>
                        <w:sz w:val="20"/>
                        <w:szCs w:val="20"/>
                      </w:rPr>
                      <w:t>Classification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D6C79" w14:textId="77777777" w:rsidR="009136B1" w:rsidRDefault="009136B1" w:rsidP="006B472C">
      <w:pPr>
        <w:spacing w:after="0" w:line="240" w:lineRule="auto"/>
      </w:pPr>
      <w:r>
        <w:separator/>
      </w:r>
    </w:p>
  </w:footnote>
  <w:footnote w:type="continuationSeparator" w:id="0">
    <w:p w14:paraId="635D1D99" w14:textId="77777777" w:rsidR="009136B1" w:rsidRDefault="009136B1" w:rsidP="006B4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7206" w14:textId="030A3D20" w:rsidR="006B472C" w:rsidRDefault="006B472C">
    <w:pPr>
      <w:pStyle w:val="Header"/>
    </w:pPr>
  </w:p>
  <w:p w14:paraId="344F47CC" w14:textId="77777777" w:rsidR="006B472C" w:rsidRDefault="006B4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B5206"/>
    <w:multiLevelType w:val="hybridMultilevel"/>
    <w:tmpl w:val="05CCA3D4"/>
    <w:lvl w:ilvl="0" w:tplc="7C204312">
      <w:start w:val="1"/>
      <w:numFmt w:val="bullet"/>
      <w:lvlText w:val="•"/>
      <w:lvlJc w:val="left"/>
      <w:pPr>
        <w:tabs>
          <w:tab w:val="num" w:pos="720"/>
        </w:tabs>
        <w:ind w:left="720" w:hanging="360"/>
      </w:pPr>
      <w:rPr>
        <w:rFonts w:ascii="Arial" w:hAnsi="Arial" w:hint="default"/>
      </w:rPr>
    </w:lvl>
    <w:lvl w:ilvl="1" w:tplc="716E170A" w:tentative="1">
      <w:start w:val="1"/>
      <w:numFmt w:val="bullet"/>
      <w:lvlText w:val="•"/>
      <w:lvlJc w:val="left"/>
      <w:pPr>
        <w:tabs>
          <w:tab w:val="num" w:pos="1440"/>
        </w:tabs>
        <w:ind w:left="1440" w:hanging="360"/>
      </w:pPr>
      <w:rPr>
        <w:rFonts w:ascii="Arial" w:hAnsi="Arial" w:hint="default"/>
      </w:rPr>
    </w:lvl>
    <w:lvl w:ilvl="2" w:tplc="23327F8A" w:tentative="1">
      <w:start w:val="1"/>
      <w:numFmt w:val="bullet"/>
      <w:lvlText w:val="•"/>
      <w:lvlJc w:val="left"/>
      <w:pPr>
        <w:tabs>
          <w:tab w:val="num" w:pos="2160"/>
        </w:tabs>
        <w:ind w:left="2160" w:hanging="360"/>
      </w:pPr>
      <w:rPr>
        <w:rFonts w:ascii="Arial" w:hAnsi="Arial" w:hint="default"/>
      </w:rPr>
    </w:lvl>
    <w:lvl w:ilvl="3" w:tplc="41246662" w:tentative="1">
      <w:start w:val="1"/>
      <w:numFmt w:val="bullet"/>
      <w:lvlText w:val="•"/>
      <w:lvlJc w:val="left"/>
      <w:pPr>
        <w:tabs>
          <w:tab w:val="num" w:pos="2880"/>
        </w:tabs>
        <w:ind w:left="2880" w:hanging="360"/>
      </w:pPr>
      <w:rPr>
        <w:rFonts w:ascii="Arial" w:hAnsi="Arial" w:hint="default"/>
      </w:rPr>
    </w:lvl>
    <w:lvl w:ilvl="4" w:tplc="5CE4036C" w:tentative="1">
      <w:start w:val="1"/>
      <w:numFmt w:val="bullet"/>
      <w:lvlText w:val="•"/>
      <w:lvlJc w:val="left"/>
      <w:pPr>
        <w:tabs>
          <w:tab w:val="num" w:pos="3600"/>
        </w:tabs>
        <w:ind w:left="3600" w:hanging="360"/>
      </w:pPr>
      <w:rPr>
        <w:rFonts w:ascii="Arial" w:hAnsi="Arial" w:hint="default"/>
      </w:rPr>
    </w:lvl>
    <w:lvl w:ilvl="5" w:tplc="8C868168" w:tentative="1">
      <w:start w:val="1"/>
      <w:numFmt w:val="bullet"/>
      <w:lvlText w:val="•"/>
      <w:lvlJc w:val="left"/>
      <w:pPr>
        <w:tabs>
          <w:tab w:val="num" w:pos="4320"/>
        </w:tabs>
        <w:ind w:left="4320" w:hanging="360"/>
      </w:pPr>
      <w:rPr>
        <w:rFonts w:ascii="Arial" w:hAnsi="Arial" w:hint="default"/>
      </w:rPr>
    </w:lvl>
    <w:lvl w:ilvl="6" w:tplc="DD92D10A" w:tentative="1">
      <w:start w:val="1"/>
      <w:numFmt w:val="bullet"/>
      <w:lvlText w:val="•"/>
      <w:lvlJc w:val="left"/>
      <w:pPr>
        <w:tabs>
          <w:tab w:val="num" w:pos="5040"/>
        </w:tabs>
        <w:ind w:left="5040" w:hanging="360"/>
      </w:pPr>
      <w:rPr>
        <w:rFonts w:ascii="Arial" w:hAnsi="Arial" w:hint="default"/>
      </w:rPr>
    </w:lvl>
    <w:lvl w:ilvl="7" w:tplc="25F80528" w:tentative="1">
      <w:start w:val="1"/>
      <w:numFmt w:val="bullet"/>
      <w:lvlText w:val="•"/>
      <w:lvlJc w:val="left"/>
      <w:pPr>
        <w:tabs>
          <w:tab w:val="num" w:pos="5760"/>
        </w:tabs>
        <w:ind w:left="5760" w:hanging="360"/>
      </w:pPr>
      <w:rPr>
        <w:rFonts w:ascii="Arial" w:hAnsi="Arial" w:hint="default"/>
      </w:rPr>
    </w:lvl>
    <w:lvl w:ilvl="8" w:tplc="3962E5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70C0BC7"/>
    <w:multiLevelType w:val="hybridMultilevel"/>
    <w:tmpl w:val="A540029C"/>
    <w:lvl w:ilvl="0" w:tplc="5DE6AAA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F2D6954"/>
    <w:multiLevelType w:val="hybridMultilevel"/>
    <w:tmpl w:val="1EE82770"/>
    <w:lvl w:ilvl="0" w:tplc="0F825354">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E192C44"/>
    <w:multiLevelType w:val="hybridMultilevel"/>
    <w:tmpl w:val="92A0785C"/>
    <w:lvl w:ilvl="0" w:tplc="C9F694EC">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BB63F10"/>
    <w:multiLevelType w:val="hybridMultilevel"/>
    <w:tmpl w:val="00BA59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DAE520D"/>
    <w:multiLevelType w:val="hybridMultilevel"/>
    <w:tmpl w:val="546409A8"/>
    <w:lvl w:ilvl="0" w:tplc="FE942AD4">
      <w:numFmt w:val="bullet"/>
      <w:lvlText w:val="-"/>
      <w:lvlJc w:val="left"/>
      <w:pPr>
        <w:ind w:left="1080" w:hanging="360"/>
      </w:pPr>
      <w:rPr>
        <w:rFonts w:ascii="Arial" w:eastAsiaTheme="minorHAnsi"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59259335">
    <w:abstractNumId w:val="0"/>
  </w:num>
  <w:num w:numId="2" w16cid:durableId="988363562">
    <w:abstractNumId w:val="4"/>
  </w:num>
  <w:num w:numId="3" w16cid:durableId="1837918484">
    <w:abstractNumId w:val="3"/>
  </w:num>
  <w:num w:numId="4" w16cid:durableId="1828352637">
    <w:abstractNumId w:val="5"/>
  </w:num>
  <w:num w:numId="5" w16cid:durableId="873730238">
    <w:abstractNumId w:val="2"/>
  </w:num>
  <w:num w:numId="6" w16cid:durableId="1192766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48"/>
    <w:rsid w:val="00002BA8"/>
    <w:rsid w:val="00024B0A"/>
    <w:rsid w:val="00027A18"/>
    <w:rsid w:val="00034690"/>
    <w:rsid w:val="00036B49"/>
    <w:rsid w:val="000375F3"/>
    <w:rsid w:val="00037833"/>
    <w:rsid w:val="000440C4"/>
    <w:rsid w:val="00046775"/>
    <w:rsid w:val="00054E23"/>
    <w:rsid w:val="00056B21"/>
    <w:rsid w:val="000627B3"/>
    <w:rsid w:val="000650AE"/>
    <w:rsid w:val="00066C80"/>
    <w:rsid w:val="000710D3"/>
    <w:rsid w:val="00073CF0"/>
    <w:rsid w:val="0009728C"/>
    <w:rsid w:val="000B5184"/>
    <w:rsid w:val="000B5B91"/>
    <w:rsid w:val="000C063F"/>
    <w:rsid w:val="000C0774"/>
    <w:rsid w:val="000C5E22"/>
    <w:rsid w:val="000E0DE3"/>
    <w:rsid w:val="000E437B"/>
    <w:rsid w:val="000E5D1B"/>
    <w:rsid w:val="000F130F"/>
    <w:rsid w:val="000F3460"/>
    <w:rsid w:val="001078DA"/>
    <w:rsid w:val="00110A78"/>
    <w:rsid w:val="0012266A"/>
    <w:rsid w:val="0012555B"/>
    <w:rsid w:val="0013530B"/>
    <w:rsid w:val="0013660F"/>
    <w:rsid w:val="001405C8"/>
    <w:rsid w:val="00146DC3"/>
    <w:rsid w:val="00160997"/>
    <w:rsid w:val="001638CA"/>
    <w:rsid w:val="001653AE"/>
    <w:rsid w:val="0016648A"/>
    <w:rsid w:val="00176FDA"/>
    <w:rsid w:val="001847B0"/>
    <w:rsid w:val="001A320B"/>
    <w:rsid w:val="001A5F3C"/>
    <w:rsid w:val="001A6386"/>
    <w:rsid w:val="001C3C35"/>
    <w:rsid w:val="001C5456"/>
    <w:rsid w:val="001F5989"/>
    <w:rsid w:val="00202787"/>
    <w:rsid w:val="00215DBA"/>
    <w:rsid w:val="00217724"/>
    <w:rsid w:val="0022378B"/>
    <w:rsid w:val="00250CFA"/>
    <w:rsid w:val="002552A8"/>
    <w:rsid w:val="00261443"/>
    <w:rsid w:val="00261921"/>
    <w:rsid w:val="002707F3"/>
    <w:rsid w:val="00281F99"/>
    <w:rsid w:val="00282EC1"/>
    <w:rsid w:val="0028592F"/>
    <w:rsid w:val="002859E5"/>
    <w:rsid w:val="00286C46"/>
    <w:rsid w:val="002905B9"/>
    <w:rsid w:val="00292BA6"/>
    <w:rsid w:val="0029577A"/>
    <w:rsid w:val="002A5237"/>
    <w:rsid w:val="002A5BD1"/>
    <w:rsid w:val="002A62A9"/>
    <w:rsid w:val="002B3256"/>
    <w:rsid w:val="002B4B82"/>
    <w:rsid w:val="002B4C4C"/>
    <w:rsid w:val="002B52E0"/>
    <w:rsid w:val="002C076D"/>
    <w:rsid w:val="002C167D"/>
    <w:rsid w:val="002E3324"/>
    <w:rsid w:val="002E49EB"/>
    <w:rsid w:val="00306625"/>
    <w:rsid w:val="00310DD5"/>
    <w:rsid w:val="003166D4"/>
    <w:rsid w:val="003204C4"/>
    <w:rsid w:val="00354132"/>
    <w:rsid w:val="00365630"/>
    <w:rsid w:val="00366551"/>
    <w:rsid w:val="00366926"/>
    <w:rsid w:val="00373465"/>
    <w:rsid w:val="0037503E"/>
    <w:rsid w:val="00376D32"/>
    <w:rsid w:val="00380197"/>
    <w:rsid w:val="00382AC0"/>
    <w:rsid w:val="00387D36"/>
    <w:rsid w:val="0039156D"/>
    <w:rsid w:val="003918F0"/>
    <w:rsid w:val="00392A9F"/>
    <w:rsid w:val="00394AB4"/>
    <w:rsid w:val="003A2F91"/>
    <w:rsid w:val="003B130B"/>
    <w:rsid w:val="003B1C02"/>
    <w:rsid w:val="003C0D94"/>
    <w:rsid w:val="003C17F3"/>
    <w:rsid w:val="003D0DF3"/>
    <w:rsid w:val="003D2EDE"/>
    <w:rsid w:val="003D31C0"/>
    <w:rsid w:val="003E16D7"/>
    <w:rsid w:val="003E6948"/>
    <w:rsid w:val="003E70AB"/>
    <w:rsid w:val="00400C45"/>
    <w:rsid w:val="004126AE"/>
    <w:rsid w:val="00414CE9"/>
    <w:rsid w:val="00426C42"/>
    <w:rsid w:val="00435A4E"/>
    <w:rsid w:val="0046069C"/>
    <w:rsid w:val="00461A96"/>
    <w:rsid w:val="004678A7"/>
    <w:rsid w:val="00467F3D"/>
    <w:rsid w:val="0047173E"/>
    <w:rsid w:val="0047463F"/>
    <w:rsid w:val="00481DFB"/>
    <w:rsid w:val="0048444D"/>
    <w:rsid w:val="00497390"/>
    <w:rsid w:val="004A5637"/>
    <w:rsid w:val="004B1A1A"/>
    <w:rsid w:val="004B3D5A"/>
    <w:rsid w:val="004E47AF"/>
    <w:rsid w:val="004E7576"/>
    <w:rsid w:val="004F67D5"/>
    <w:rsid w:val="004F753B"/>
    <w:rsid w:val="005015EE"/>
    <w:rsid w:val="00505EF9"/>
    <w:rsid w:val="00511A86"/>
    <w:rsid w:val="00516BCA"/>
    <w:rsid w:val="00530FCC"/>
    <w:rsid w:val="00545F58"/>
    <w:rsid w:val="00547A1A"/>
    <w:rsid w:val="0056582A"/>
    <w:rsid w:val="00566A94"/>
    <w:rsid w:val="005758DD"/>
    <w:rsid w:val="0058538A"/>
    <w:rsid w:val="005B680C"/>
    <w:rsid w:val="005D6BB2"/>
    <w:rsid w:val="005F6026"/>
    <w:rsid w:val="006036F0"/>
    <w:rsid w:val="00620AAF"/>
    <w:rsid w:val="006329C6"/>
    <w:rsid w:val="00632F5B"/>
    <w:rsid w:val="00634DA9"/>
    <w:rsid w:val="00637285"/>
    <w:rsid w:val="00640318"/>
    <w:rsid w:val="0065582A"/>
    <w:rsid w:val="00660E95"/>
    <w:rsid w:val="006710D0"/>
    <w:rsid w:val="006747CE"/>
    <w:rsid w:val="006862E9"/>
    <w:rsid w:val="0069406A"/>
    <w:rsid w:val="006A4867"/>
    <w:rsid w:val="006A4E99"/>
    <w:rsid w:val="006B472C"/>
    <w:rsid w:val="006C2852"/>
    <w:rsid w:val="006C4560"/>
    <w:rsid w:val="006D05BD"/>
    <w:rsid w:val="006D0E24"/>
    <w:rsid w:val="006D1191"/>
    <w:rsid w:val="006D2010"/>
    <w:rsid w:val="006D4380"/>
    <w:rsid w:val="006D5D75"/>
    <w:rsid w:val="006D6B1B"/>
    <w:rsid w:val="006D6FDA"/>
    <w:rsid w:val="006F663E"/>
    <w:rsid w:val="00701CC4"/>
    <w:rsid w:val="00706BB9"/>
    <w:rsid w:val="0071059F"/>
    <w:rsid w:val="00724304"/>
    <w:rsid w:val="007262D6"/>
    <w:rsid w:val="00734329"/>
    <w:rsid w:val="00735447"/>
    <w:rsid w:val="00741A0F"/>
    <w:rsid w:val="007441D0"/>
    <w:rsid w:val="007546CF"/>
    <w:rsid w:val="00766A29"/>
    <w:rsid w:val="00766A2E"/>
    <w:rsid w:val="00770F9C"/>
    <w:rsid w:val="00780C3D"/>
    <w:rsid w:val="00787D55"/>
    <w:rsid w:val="0079440A"/>
    <w:rsid w:val="007A02D0"/>
    <w:rsid w:val="007A1797"/>
    <w:rsid w:val="007A73C4"/>
    <w:rsid w:val="007B1789"/>
    <w:rsid w:val="007C06E2"/>
    <w:rsid w:val="007C2B86"/>
    <w:rsid w:val="007C60C8"/>
    <w:rsid w:val="007D0058"/>
    <w:rsid w:val="007D5283"/>
    <w:rsid w:val="007F78D0"/>
    <w:rsid w:val="008036DD"/>
    <w:rsid w:val="008044E4"/>
    <w:rsid w:val="0080623C"/>
    <w:rsid w:val="00806FF8"/>
    <w:rsid w:val="00807B41"/>
    <w:rsid w:val="00811999"/>
    <w:rsid w:val="0081664D"/>
    <w:rsid w:val="0082556C"/>
    <w:rsid w:val="00836C9B"/>
    <w:rsid w:val="0084213E"/>
    <w:rsid w:val="00843EB5"/>
    <w:rsid w:val="00844C82"/>
    <w:rsid w:val="00854C76"/>
    <w:rsid w:val="00867DD8"/>
    <w:rsid w:val="008754F3"/>
    <w:rsid w:val="00882884"/>
    <w:rsid w:val="00885599"/>
    <w:rsid w:val="0089296B"/>
    <w:rsid w:val="00893D15"/>
    <w:rsid w:val="008B5819"/>
    <w:rsid w:val="008B6B3C"/>
    <w:rsid w:val="008D4DAD"/>
    <w:rsid w:val="008D5495"/>
    <w:rsid w:val="009136B1"/>
    <w:rsid w:val="00933184"/>
    <w:rsid w:val="009360FD"/>
    <w:rsid w:val="00946D43"/>
    <w:rsid w:val="009477E2"/>
    <w:rsid w:val="0095020C"/>
    <w:rsid w:val="00971278"/>
    <w:rsid w:val="00972629"/>
    <w:rsid w:val="0097789A"/>
    <w:rsid w:val="00990A4D"/>
    <w:rsid w:val="00990D79"/>
    <w:rsid w:val="009A6DFA"/>
    <w:rsid w:val="009B024F"/>
    <w:rsid w:val="009B326B"/>
    <w:rsid w:val="009C59B3"/>
    <w:rsid w:val="009D2114"/>
    <w:rsid w:val="009D6D4F"/>
    <w:rsid w:val="009E0E2A"/>
    <w:rsid w:val="009E29D2"/>
    <w:rsid w:val="009E40FA"/>
    <w:rsid w:val="009F419A"/>
    <w:rsid w:val="00A05E3A"/>
    <w:rsid w:val="00A06A7D"/>
    <w:rsid w:val="00A12E8B"/>
    <w:rsid w:val="00A13669"/>
    <w:rsid w:val="00A22154"/>
    <w:rsid w:val="00A274C1"/>
    <w:rsid w:val="00A515A2"/>
    <w:rsid w:val="00A51FBD"/>
    <w:rsid w:val="00A53387"/>
    <w:rsid w:val="00A540D2"/>
    <w:rsid w:val="00A6101B"/>
    <w:rsid w:val="00A636F6"/>
    <w:rsid w:val="00A85833"/>
    <w:rsid w:val="00A874B1"/>
    <w:rsid w:val="00AA4486"/>
    <w:rsid w:val="00AA59D5"/>
    <w:rsid w:val="00AA71EF"/>
    <w:rsid w:val="00AB153C"/>
    <w:rsid w:val="00AB320B"/>
    <w:rsid w:val="00AD2EA0"/>
    <w:rsid w:val="00AF0EC6"/>
    <w:rsid w:val="00B12222"/>
    <w:rsid w:val="00B35151"/>
    <w:rsid w:val="00B3603D"/>
    <w:rsid w:val="00B40516"/>
    <w:rsid w:val="00B421A4"/>
    <w:rsid w:val="00B50F14"/>
    <w:rsid w:val="00B71150"/>
    <w:rsid w:val="00B73138"/>
    <w:rsid w:val="00B74744"/>
    <w:rsid w:val="00B75355"/>
    <w:rsid w:val="00B86849"/>
    <w:rsid w:val="00B906A2"/>
    <w:rsid w:val="00B9205D"/>
    <w:rsid w:val="00B94969"/>
    <w:rsid w:val="00B950E4"/>
    <w:rsid w:val="00BA387D"/>
    <w:rsid w:val="00BA52B4"/>
    <w:rsid w:val="00BB3078"/>
    <w:rsid w:val="00BB47F5"/>
    <w:rsid w:val="00BB6DE5"/>
    <w:rsid w:val="00BC0377"/>
    <w:rsid w:val="00BC2C04"/>
    <w:rsid w:val="00BC4F56"/>
    <w:rsid w:val="00BD3CDE"/>
    <w:rsid w:val="00BD66E6"/>
    <w:rsid w:val="00BF076F"/>
    <w:rsid w:val="00BF2613"/>
    <w:rsid w:val="00BF2F8E"/>
    <w:rsid w:val="00C147D0"/>
    <w:rsid w:val="00C14924"/>
    <w:rsid w:val="00C150DA"/>
    <w:rsid w:val="00C17F5B"/>
    <w:rsid w:val="00C21049"/>
    <w:rsid w:val="00C261E2"/>
    <w:rsid w:val="00C31C0F"/>
    <w:rsid w:val="00C34947"/>
    <w:rsid w:val="00C35165"/>
    <w:rsid w:val="00C419A5"/>
    <w:rsid w:val="00C4298F"/>
    <w:rsid w:val="00C52006"/>
    <w:rsid w:val="00C55A1A"/>
    <w:rsid w:val="00C55A21"/>
    <w:rsid w:val="00C57111"/>
    <w:rsid w:val="00C61748"/>
    <w:rsid w:val="00C822F2"/>
    <w:rsid w:val="00C8498D"/>
    <w:rsid w:val="00C916A8"/>
    <w:rsid w:val="00C95DE7"/>
    <w:rsid w:val="00CA2960"/>
    <w:rsid w:val="00CB07E0"/>
    <w:rsid w:val="00CB16AE"/>
    <w:rsid w:val="00CB6184"/>
    <w:rsid w:val="00CD16FB"/>
    <w:rsid w:val="00CD7565"/>
    <w:rsid w:val="00CE058E"/>
    <w:rsid w:val="00CE0782"/>
    <w:rsid w:val="00CE2D0C"/>
    <w:rsid w:val="00CF61B3"/>
    <w:rsid w:val="00D1029D"/>
    <w:rsid w:val="00D137E1"/>
    <w:rsid w:val="00D20B0E"/>
    <w:rsid w:val="00D21869"/>
    <w:rsid w:val="00D25A17"/>
    <w:rsid w:val="00D31C3D"/>
    <w:rsid w:val="00D51512"/>
    <w:rsid w:val="00D5456B"/>
    <w:rsid w:val="00D56FE6"/>
    <w:rsid w:val="00D70B8E"/>
    <w:rsid w:val="00D762E8"/>
    <w:rsid w:val="00D76F49"/>
    <w:rsid w:val="00D8291D"/>
    <w:rsid w:val="00D93D0A"/>
    <w:rsid w:val="00D95D2E"/>
    <w:rsid w:val="00D969DE"/>
    <w:rsid w:val="00DA2148"/>
    <w:rsid w:val="00DB3692"/>
    <w:rsid w:val="00DC14ED"/>
    <w:rsid w:val="00DC1F5F"/>
    <w:rsid w:val="00DC1FD9"/>
    <w:rsid w:val="00DE3A2A"/>
    <w:rsid w:val="00DE4EFA"/>
    <w:rsid w:val="00DF03E7"/>
    <w:rsid w:val="00DF145A"/>
    <w:rsid w:val="00DF5EF4"/>
    <w:rsid w:val="00E04CDC"/>
    <w:rsid w:val="00E07835"/>
    <w:rsid w:val="00E10F35"/>
    <w:rsid w:val="00E13E6F"/>
    <w:rsid w:val="00E14464"/>
    <w:rsid w:val="00E14A9F"/>
    <w:rsid w:val="00E35E46"/>
    <w:rsid w:val="00E51661"/>
    <w:rsid w:val="00E65667"/>
    <w:rsid w:val="00E71F91"/>
    <w:rsid w:val="00E77533"/>
    <w:rsid w:val="00E85C5D"/>
    <w:rsid w:val="00EB0DB3"/>
    <w:rsid w:val="00EB71B6"/>
    <w:rsid w:val="00EC77AC"/>
    <w:rsid w:val="00EC7F84"/>
    <w:rsid w:val="00ED30F5"/>
    <w:rsid w:val="00EE3130"/>
    <w:rsid w:val="00EF0789"/>
    <w:rsid w:val="00EF1076"/>
    <w:rsid w:val="00EF1384"/>
    <w:rsid w:val="00EF15FB"/>
    <w:rsid w:val="00F13F5F"/>
    <w:rsid w:val="00F216B1"/>
    <w:rsid w:val="00F2553E"/>
    <w:rsid w:val="00F25DA1"/>
    <w:rsid w:val="00F30988"/>
    <w:rsid w:val="00F35D29"/>
    <w:rsid w:val="00F62EE1"/>
    <w:rsid w:val="00F667D9"/>
    <w:rsid w:val="00F66B02"/>
    <w:rsid w:val="00F679C6"/>
    <w:rsid w:val="00F8648B"/>
    <w:rsid w:val="00FA5BEB"/>
    <w:rsid w:val="00FB1C54"/>
    <w:rsid w:val="00FC0D0D"/>
    <w:rsid w:val="00FC22D5"/>
    <w:rsid w:val="00FD3097"/>
    <w:rsid w:val="00FE687F"/>
    <w:rsid w:val="06C79456"/>
    <w:rsid w:val="079626BC"/>
    <w:rsid w:val="0C1AE037"/>
    <w:rsid w:val="1073DC19"/>
    <w:rsid w:val="15604A5E"/>
    <w:rsid w:val="1635AAB2"/>
    <w:rsid w:val="1C8B2B7B"/>
    <w:rsid w:val="22E4EEA8"/>
    <w:rsid w:val="265A0F05"/>
    <w:rsid w:val="26A5C7E9"/>
    <w:rsid w:val="30CD4B58"/>
    <w:rsid w:val="328113D4"/>
    <w:rsid w:val="349A995F"/>
    <w:rsid w:val="35803D5E"/>
    <w:rsid w:val="3BA3325A"/>
    <w:rsid w:val="41B3BAFE"/>
    <w:rsid w:val="41BAEC74"/>
    <w:rsid w:val="45643441"/>
    <w:rsid w:val="4690B51D"/>
    <w:rsid w:val="49E4D01F"/>
    <w:rsid w:val="4EEC7E6B"/>
    <w:rsid w:val="5C7009E9"/>
    <w:rsid w:val="5FB5B616"/>
    <w:rsid w:val="619DEC0E"/>
    <w:rsid w:val="6781FE15"/>
    <w:rsid w:val="6FFF729C"/>
    <w:rsid w:val="73D0D207"/>
    <w:rsid w:val="73D8C408"/>
    <w:rsid w:val="77389FF7"/>
    <w:rsid w:val="7B5677EB"/>
    <w:rsid w:val="7D756163"/>
    <w:rsid w:val="7E8F5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EEBF"/>
  <w15:chartTrackingRefBased/>
  <w15:docId w15:val="{F0C8C5D7-E308-4A54-BCEE-76E08DE58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F61B3"/>
    <w:pPr>
      <w:spacing w:after="0" w:line="240" w:lineRule="auto"/>
    </w:pPr>
  </w:style>
  <w:style w:type="character" w:customStyle="1" w:styleId="normaltextrun">
    <w:name w:val="normaltextrun"/>
    <w:basedOn w:val="DefaultParagraphFont"/>
    <w:rsid w:val="00D76F49"/>
  </w:style>
  <w:style w:type="character" w:customStyle="1" w:styleId="eop">
    <w:name w:val="eop"/>
    <w:basedOn w:val="DefaultParagraphFont"/>
    <w:rsid w:val="00D76F49"/>
  </w:style>
  <w:style w:type="paragraph" w:styleId="Header">
    <w:name w:val="header"/>
    <w:basedOn w:val="Normal"/>
    <w:link w:val="HeaderChar"/>
    <w:uiPriority w:val="99"/>
    <w:unhideWhenUsed/>
    <w:rsid w:val="006B472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472C"/>
  </w:style>
  <w:style w:type="paragraph" w:styleId="Footer">
    <w:name w:val="footer"/>
    <w:basedOn w:val="Normal"/>
    <w:link w:val="FooterChar"/>
    <w:uiPriority w:val="99"/>
    <w:unhideWhenUsed/>
    <w:rsid w:val="006B47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472C"/>
  </w:style>
  <w:style w:type="character" w:customStyle="1" w:styleId="wacimagecontainer">
    <w:name w:val="wacimagecontainer"/>
    <w:basedOn w:val="DefaultParagraphFont"/>
    <w:rsid w:val="006B472C"/>
  </w:style>
  <w:style w:type="character" w:styleId="CommentReference">
    <w:name w:val="annotation reference"/>
    <w:basedOn w:val="DefaultParagraphFont"/>
    <w:uiPriority w:val="99"/>
    <w:semiHidden/>
    <w:unhideWhenUsed/>
    <w:rsid w:val="006D0E24"/>
    <w:rPr>
      <w:sz w:val="16"/>
      <w:szCs w:val="16"/>
    </w:rPr>
  </w:style>
  <w:style w:type="paragraph" w:styleId="CommentText">
    <w:name w:val="annotation text"/>
    <w:basedOn w:val="Normal"/>
    <w:link w:val="CommentTextChar"/>
    <w:uiPriority w:val="99"/>
    <w:unhideWhenUsed/>
    <w:rsid w:val="006D0E24"/>
    <w:pPr>
      <w:spacing w:line="240" w:lineRule="auto"/>
    </w:pPr>
    <w:rPr>
      <w:sz w:val="20"/>
      <w:szCs w:val="20"/>
    </w:rPr>
  </w:style>
  <w:style w:type="character" w:customStyle="1" w:styleId="CommentTextChar">
    <w:name w:val="Comment Text Char"/>
    <w:basedOn w:val="DefaultParagraphFont"/>
    <w:link w:val="CommentText"/>
    <w:uiPriority w:val="99"/>
    <w:rsid w:val="006D0E24"/>
    <w:rPr>
      <w:sz w:val="20"/>
      <w:szCs w:val="20"/>
    </w:rPr>
  </w:style>
  <w:style w:type="paragraph" w:styleId="CommentSubject">
    <w:name w:val="annotation subject"/>
    <w:basedOn w:val="CommentText"/>
    <w:next w:val="CommentText"/>
    <w:link w:val="CommentSubjectChar"/>
    <w:uiPriority w:val="99"/>
    <w:semiHidden/>
    <w:unhideWhenUsed/>
    <w:rsid w:val="006D0E24"/>
    <w:rPr>
      <w:b/>
      <w:bCs/>
    </w:rPr>
  </w:style>
  <w:style w:type="character" w:customStyle="1" w:styleId="CommentSubjectChar">
    <w:name w:val="Comment Subject Char"/>
    <w:basedOn w:val="CommentTextChar"/>
    <w:link w:val="CommentSubject"/>
    <w:uiPriority w:val="99"/>
    <w:semiHidden/>
    <w:rsid w:val="006D0E24"/>
    <w:rPr>
      <w:b/>
      <w:bCs/>
      <w:sz w:val="20"/>
      <w:szCs w:val="20"/>
    </w:rPr>
  </w:style>
  <w:style w:type="paragraph" w:customStyle="1" w:styleId="paragraph">
    <w:name w:val="paragraph"/>
    <w:basedOn w:val="Normal"/>
    <w:rsid w:val="00A51FBD"/>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NormalWeb">
    <w:name w:val="Normal (Web)"/>
    <w:basedOn w:val="Normal"/>
    <w:uiPriority w:val="99"/>
    <w:semiHidden/>
    <w:unhideWhenUsed/>
    <w:rsid w:val="00CE058E"/>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Subtitle">
    <w:name w:val="Subtitle"/>
    <w:basedOn w:val="Normal"/>
    <w:next w:val="Normal"/>
    <w:link w:val="SubtitleChar"/>
    <w:uiPriority w:val="11"/>
    <w:qFormat/>
    <w:rsid w:val="000627B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627B3"/>
    <w:rPr>
      <w:rFonts w:eastAsiaTheme="minorEastAsia"/>
      <w:color w:val="5A5A5A" w:themeColor="text1" w:themeTint="A5"/>
      <w:spacing w:val="15"/>
    </w:rPr>
  </w:style>
  <w:style w:type="paragraph" w:styleId="ListParagraph">
    <w:name w:val="List Paragraph"/>
    <w:basedOn w:val="Normal"/>
    <w:uiPriority w:val="34"/>
    <w:qFormat/>
    <w:rsid w:val="00D96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C92B74DE88A04B8B59D7C6E1CF21DA" ma:contentTypeVersion="13" ma:contentTypeDescription="Utwórz nowy dokument." ma:contentTypeScope="" ma:versionID="ec29fecd7283749ed6b0cd85b87eb508">
  <xsd:schema xmlns:xsd="http://www.w3.org/2001/XMLSchema" xmlns:xs="http://www.w3.org/2001/XMLSchema" xmlns:p="http://schemas.microsoft.com/office/2006/metadata/properties" xmlns:ns2="2e230dca-0cd0-43dc-a2ef-c97d32cd25e2" xmlns:ns3="db2df73f-c36a-4763-b158-b44f2135c319" targetNamespace="http://schemas.microsoft.com/office/2006/metadata/properties" ma:root="true" ma:fieldsID="4eaa2aec0c1b9958b901aaa38d278451" ns2:_="" ns3:_="">
    <xsd:import namespace="2e230dca-0cd0-43dc-a2ef-c97d32cd25e2"/>
    <xsd:import namespace="db2df73f-c36a-4763-b158-b44f2135c3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30dca-0cd0-43dc-a2ef-c97d32cd2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cbb2b9f1-d9ff-4113-82f7-14441253dc3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df73f-c36a-4763-b158-b44f2135c3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479cf4-cc41-4a28-9253-c5622a1b090d}" ma:internalName="TaxCatchAll" ma:showField="CatchAllData" ma:web="db2df73f-c36a-4763-b158-b44f2135c31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230dca-0cd0-43dc-a2ef-c97d32cd25e2">
      <Terms xmlns="http://schemas.microsoft.com/office/infopath/2007/PartnerControls"/>
    </lcf76f155ced4ddcb4097134ff3c332f>
    <TaxCatchAll xmlns="db2df73f-c36a-4763-b158-b44f2135c319" xsi:nil="true"/>
  </documentManagement>
</p:properties>
</file>

<file path=customXml/itemProps1.xml><?xml version="1.0" encoding="utf-8"?>
<ds:datastoreItem xmlns:ds="http://schemas.openxmlformats.org/officeDocument/2006/customXml" ds:itemID="{FBD026E1-C0D0-4209-B720-7FC1557F8478}">
  <ds:schemaRefs>
    <ds:schemaRef ds:uri="http://schemas.microsoft.com/sharepoint/v3/contenttype/forms"/>
  </ds:schemaRefs>
</ds:datastoreItem>
</file>

<file path=customXml/itemProps2.xml><?xml version="1.0" encoding="utf-8"?>
<ds:datastoreItem xmlns:ds="http://schemas.openxmlformats.org/officeDocument/2006/customXml" ds:itemID="{C9C803BE-9A11-4058-A350-19AAFE158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30dca-0cd0-43dc-a2ef-c97d32cd25e2"/>
    <ds:schemaRef ds:uri="db2df73f-c36a-4763-b158-b44f2135c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8761A-EC95-406D-B48B-D2BEA6075893}">
  <ds:schemaRefs>
    <ds:schemaRef ds:uri="http://schemas.microsoft.com/office/2006/metadata/properties"/>
    <ds:schemaRef ds:uri="http://schemas.microsoft.com/office/infopath/2007/PartnerControls"/>
    <ds:schemaRef ds:uri="2e230dca-0cd0-43dc-a2ef-c97d32cd25e2"/>
    <ds:schemaRef ds:uri="db2df73f-c36a-4763-b158-b44f2135c319"/>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727</Words>
  <Characters>4365</Characters>
  <Application>Microsoft Office Word</Application>
  <DocSecurity>0</DocSecurity>
  <Lines>36</Lines>
  <Paragraphs>10</Paragraphs>
  <ScaleCrop>false</ScaleCrop>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 Grandys-Kil</dc:creator>
  <cp:keywords/>
  <dc:description/>
  <cp:lastModifiedBy>Tomasz GARDZIEWICZ</cp:lastModifiedBy>
  <cp:revision>4</cp:revision>
  <dcterms:created xsi:type="dcterms:W3CDTF">2026-06-18T16:11:00Z</dcterms:created>
  <dcterms:modified xsi:type="dcterms:W3CDTF">2026-06-22T13:00:00Z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0x01010039C92B74DE88A04B8B59D7C6E1CF21DA</vt:lpwstr>
  </property>
  <property fmtid="{D5CDD505-2E9C-101B-9397-08002B2CF9AE}" pid="3" name="MediaServiceImageTags">
    <vt:lpwstr/>
  </property>
  <property fmtid="{D5CDD505-2E9C-101B-9397-08002B2CF9AE}" pid="4" name="ClassificationContentMarkingFooterShapeIds">
    <vt:lpwstr>1608abcd,62cc3515,47de7406</vt:lpwstr>
  </property>
  <property fmtid="{D5CDD505-2E9C-101B-9397-08002B2CF9AE}" pid="5" name="ClassificationContentMarkingFooterFontProps">
    <vt:lpwstr>#0078d7,10,Aptos</vt:lpwstr>
  </property>
  <property fmtid="{D5CDD505-2E9C-101B-9397-08002B2CF9AE}" pid="6" name="ClassificationContentMarkingFooterText">
    <vt:lpwstr>Classification : Internal</vt:lpwstr>
  </property>
  <property fmtid="{D5CDD505-2E9C-101B-9397-08002B2CF9AE}" pid="7" name="MSIP_Label_8ffbc0b8-e97b-47d1-beac-cb0955d66f3b_Enabled">
    <vt:lpwstr>true</vt:lpwstr>
  </property>
  <property fmtid="{D5CDD505-2E9C-101B-9397-08002B2CF9AE}" pid="8" name="MSIP_Label_8ffbc0b8-e97b-47d1-beac-cb0955d66f3b_SetDate">
    <vt:lpwstr>2026-05-28T07:28:39Z</vt:lpwstr>
  </property>
  <property fmtid="{D5CDD505-2E9C-101B-9397-08002B2CF9AE}" pid="9" name="MSIP_Label_8ffbc0b8-e97b-47d1-beac-cb0955d66f3b_Method">
    <vt:lpwstr>Privileged</vt:lpwstr>
  </property>
  <property fmtid="{D5CDD505-2E9C-101B-9397-08002B2CF9AE}" pid="10" name="MSIP_Label_8ffbc0b8-e97b-47d1-beac-cb0955d66f3b_Name">
    <vt:lpwstr>8ffbc0b8-e97b-47d1-beac-cb0955d66f3b</vt:lpwstr>
  </property>
  <property fmtid="{D5CDD505-2E9C-101B-9397-08002B2CF9AE}" pid="11" name="MSIP_Label_8ffbc0b8-e97b-47d1-beac-cb0955d66f3b_SiteId">
    <vt:lpwstr>614f9c25-bffa-42c7-86d8-964101f55fa2</vt:lpwstr>
  </property>
  <property fmtid="{D5CDD505-2E9C-101B-9397-08002B2CF9AE}" pid="12" name="MSIP_Label_8ffbc0b8-e97b-47d1-beac-cb0955d66f3b_ActionId">
    <vt:lpwstr>92fbd700-284b-45ae-8c19-9e2b47f8bcbb</vt:lpwstr>
  </property>
  <property fmtid="{D5CDD505-2E9C-101B-9397-08002B2CF9AE}" pid="13" name="MSIP_Label_8ffbc0b8-e97b-47d1-beac-cb0955d66f3b_ContentBits">
    <vt:lpwstr>2</vt:lpwstr>
  </property>
  <property fmtid="{D5CDD505-2E9C-101B-9397-08002B2CF9AE}" pid="14" name="MSIP_Label_8ffbc0b8-e97b-47d1-beac-cb0955d66f3b_Tag">
    <vt:lpwstr>10, 0, 1, 1</vt:lpwstr>
  </property>
</Properties>
</file>