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5C4C" w14:textId="6A09DAE3" w:rsidR="000627B3" w:rsidRPr="000627B3" w:rsidRDefault="00D76F49" w:rsidP="00036B4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35A4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Warszawa, </w:t>
      </w:r>
      <w:r w:rsidR="0014228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23</w:t>
      </w:r>
      <w:r w:rsidR="00A51FBD" w:rsidRPr="00435A4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.0</w:t>
      </w:r>
      <w:r w:rsidR="0014228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6</w:t>
      </w:r>
      <w:r w:rsidRPr="00435A4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.202</w:t>
      </w:r>
      <w:r w:rsidR="00282EC1" w:rsidRPr="00435A4E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6</w:t>
      </w:r>
      <w:r w:rsidRPr="00435A4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4356592" w14:textId="04D25ADD" w:rsidR="000627B3" w:rsidRPr="000627B3" w:rsidRDefault="000627B3" w:rsidP="00036B49">
      <w:pPr>
        <w:jc w:val="both"/>
        <w:rPr>
          <w:rFonts w:ascii="Arial" w:hAnsi="Arial" w:cs="Arial"/>
          <w:noProof/>
        </w:rPr>
      </w:pPr>
      <w:r w:rsidRPr="000627B3">
        <w:rPr>
          <w:rFonts w:ascii="Arial" w:eastAsia="Arial" w:hAnsi="Arial" w:cs="Times New Roman"/>
          <w:noProof/>
          <w:kern w:val="0"/>
          <w:sz w:val="24"/>
          <w:szCs w:val="20"/>
          <w:lang w:eastAsia="ja-JP"/>
          <w14:ligatures w14:val="none"/>
        </w:rPr>
        <mc:AlternateContent>
          <mc:Choice Requires="wps">
            <w:drawing>
              <wp:inline distT="0" distB="0" distL="0" distR="0" wp14:anchorId="14F49226" wp14:editId="36D5AE6D">
                <wp:extent cx="5692140" cy="243840"/>
                <wp:effectExtent l="0" t="0" r="3810" b="381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243840"/>
                        </a:xfrm>
                        <a:prstGeom prst="rect">
                          <a:avLst/>
                        </a:prstGeom>
                        <a:solidFill>
                          <a:srgbClr val="00A76C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1B13C6" w14:textId="77777777" w:rsidR="000627B3" w:rsidRPr="000627B3" w:rsidRDefault="000627B3" w:rsidP="000627B3">
                            <w:pPr>
                              <w:pStyle w:val="Subtit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0627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49226" id="Rectangle 6" o:spid="_x0000_s1026" style="width:448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5yfQgIAAIUEAAAOAAAAZHJzL2Uyb0RvYy54bWysVE1v2zAMvQ/YfxB0X52knwvqFEGCDAOK&#10;tkA79MzIUmxAFjVKid39+lGy027dTsMuMiVRj+Tjo69v+taKg6bQoCvl9GQihXYKq8btSvntafPp&#10;SooQwVVg0elSvuggbxYfP1x3fq5nWKOtNAkGcWHe+VLWMfp5UQRV6xbCCXrt+NIgtRB5S7uiIugY&#10;vbXFbDK5KDqkyhMqHQKfrodLucj4xmgV740JOgpbSs4t5pXyuk1rsbiG+Y7A140a04B/yKKFxnHQ&#10;V6g1RBB7av6AahtFGNDEE4VtgcY0SucauJrp5F01jzV4nWthcoJ/pSn8P1h1d3j0D8Q0dD7MA5up&#10;it5Qm76cn+gzWS+vZOk+CsWH5xefZ9Mz5lTx3ezs9IpthineXnsK8YvGViSjlMTNyBzB4TbEwfXo&#10;koIFtE21aazNG9ptV5bEAVLjJsvLi9WI/pubdaIr5en08pzzANaPsRDZbH1VyuB2UoDdsTBVpBza&#10;YQqQm55CryHUQ4iMOkawLmWgs3rGTN/ISVbst/3I2BarlwcShIOyglebhoFvIcQHIJYSE8TjEe95&#10;MRY5WRwtKWqkH387T/7cYb6VomNpciXf90BaCvvVce+Tjo8GHY3t0XD7doVM2pQHz6ts8gOK9mga&#10;wvaZp2aZovAVOMWxBo7GzSoOI8Jzp/Rymd1Yrx7irXv0KoEnihKFT/0zkB9bHFkcd3iULczfdXrw&#10;TS8dLvcRTZNlkCgdeGT5pA1rPQtpnMs0TL/us9fb32PxEwAA//8DAFBLAwQUAAYACAAAACEALNBs&#10;690AAAAEAQAADwAAAGRycy9kb3ducmV2LnhtbEyPwU7DMBBE70j8g7VIXFDrAFUJIU5FK3FBcKBU&#10;KkfXXpJQex3FbpP+PQsXuKw0mtHM23IxeieO2Mc2kILraQYCyQTbUq1g8/40yUHEpMlqFwgVnDDC&#10;ojo/K3Vhw0BveFynWnAJxUIraFLqCimjadDrOA0dEnufofc6sexraXs9cLl38ibL5tLrlnih0R2u&#10;GjT79cErqJev26/98LHsVi/P49XGxDt3MkpdXoyPDyASjukvDD/4jA4VM+3CgWwUTgE/kn4ve/n9&#10;fAZip+A2n4GsSvkfvvoGAAD//wMAUEsBAi0AFAAGAAgAAAAhALaDOJL+AAAA4QEAABMAAAAAAAAA&#10;AAAAAAAAAAAAAFtDb250ZW50X1R5cGVzXS54bWxQSwECLQAUAAYACAAAACEAOP0h/9YAAACUAQAA&#10;CwAAAAAAAAAAAAAAAAAvAQAAX3JlbHMvLnJlbHNQSwECLQAUAAYACAAAACEAN/ucn0ICAACFBAAA&#10;DgAAAAAAAAAAAAAAAAAuAgAAZHJzL2Uyb0RvYy54bWxQSwECLQAUAAYACAAAACEALNBs690AAAAE&#10;AQAADwAAAAAAAAAAAAAAAACcBAAAZHJzL2Rvd25yZXYueG1sUEsFBgAAAAAEAAQA8wAAAKYFAAAA&#10;AA==&#10;" fillcolor="#00a76c" stroked="f" strokeweight=".25pt">
                <v:textbox inset="0,0,0,0">
                  <w:txbxContent>
                    <w:p w14:paraId="171B13C6" w14:textId="77777777" w:rsidR="000627B3" w:rsidRPr="000627B3" w:rsidRDefault="000627B3" w:rsidP="000627B3">
                      <w:pPr>
                        <w:pStyle w:val="Subtitl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0627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INFORMACJA PRASOWA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8E96DE" w14:textId="77777777" w:rsidR="000627B3" w:rsidRDefault="000627B3" w:rsidP="00A51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29B95C"/>
          <w:sz w:val="32"/>
          <w:szCs w:val="32"/>
        </w:rPr>
      </w:pPr>
    </w:p>
    <w:p w14:paraId="1B5B9DE3" w14:textId="537C59D1" w:rsidR="00A51FBD" w:rsidRPr="000627B3" w:rsidRDefault="009E40FA" w:rsidP="00A51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29B95C"/>
          <w:sz w:val="32"/>
          <w:szCs w:val="32"/>
        </w:rPr>
      </w:pPr>
      <w:r w:rsidRPr="000627B3">
        <w:rPr>
          <w:rStyle w:val="normaltextrun"/>
          <w:rFonts w:ascii="Arial" w:hAnsi="Arial" w:cs="Arial"/>
          <w:b/>
          <w:bCs/>
          <w:color w:val="29B95C"/>
          <w:sz w:val="32"/>
          <w:szCs w:val="32"/>
        </w:rPr>
        <w:t>Polski rynek handlowy dojrzewa. Parki handlowe nadal napędzają rozwój sektora</w:t>
      </w:r>
    </w:p>
    <w:p w14:paraId="26F239EA" w14:textId="77777777" w:rsidR="00A51FBD" w:rsidRPr="00435A4E" w:rsidRDefault="00A51FBD" w:rsidP="00A51F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510EAD" w14:textId="602150FE" w:rsidR="00C261E2" w:rsidRPr="000627B3" w:rsidRDefault="00B71150" w:rsidP="000627B3">
      <w:pPr>
        <w:pStyle w:val="paragraph"/>
        <w:jc w:val="both"/>
        <w:textAlignment w:val="baseline"/>
        <w:rPr>
          <w:rFonts w:ascii="Arial" w:hAnsi="Arial" w:cs="Arial"/>
          <w:b/>
          <w:bCs/>
        </w:rPr>
      </w:pPr>
      <w:r w:rsidRPr="000627B3">
        <w:rPr>
          <w:rFonts w:ascii="Arial" w:hAnsi="Arial" w:cs="Arial"/>
          <w:b/>
          <w:bCs/>
        </w:rPr>
        <w:t xml:space="preserve">Rynek powierzchni handlowych w Polsce skutecznie zaadaptował się do zmian w zachowaniach konsumentów oraz wzrostu znaczenia e-commerce. </w:t>
      </w:r>
      <w:r w:rsidR="00C35165" w:rsidRPr="000627B3">
        <w:rPr>
          <w:rFonts w:ascii="Arial" w:hAnsi="Arial" w:cs="Arial"/>
          <w:b/>
          <w:bCs/>
        </w:rPr>
        <w:t>Głównym motorem rozwoju pozostają parki handlowe, które dominują w strukturze podaży</w:t>
      </w:r>
      <w:r w:rsidR="00AA59D5" w:rsidRPr="000627B3">
        <w:rPr>
          <w:rFonts w:ascii="Arial" w:hAnsi="Arial" w:cs="Arial"/>
          <w:b/>
          <w:bCs/>
        </w:rPr>
        <w:t xml:space="preserve">. </w:t>
      </w:r>
      <w:r w:rsidR="41B3BAFE" w:rsidRPr="000627B3">
        <w:rPr>
          <w:rFonts w:ascii="Arial" w:hAnsi="Arial" w:cs="Arial"/>
          <w:b/>
          <w:bCs/>
        </w:rPr>
        <w:t>S</w:t>
      </w:r>
      <w:r w:rsidR="007A73C4" w:rsidRPr="000627B3">
        <w:rPr>
          <w:rFonts w:ascii="Arial" w:hAnsi="Arial" w:cs="Arial"/>
          <w:b/>
          <w:bCs/>
        </w:rPr>
        <w:t>padek</w:t>
      </w:r>
      <w:r w:rsidR="00C261E2" w:rsidRPr="000627B3">
        <w:rPr>
          <w:rFonts w:ascii="Arial" w:hAnsi="Arial" w:cs="Arial"/>
          <w:b/>
          <w:bCs/>
        </w:rPr>
        <w:t xml:space="preserve"> poziom</w:t>
      </w:r>
      <w:r w:rsidR="007A73C4" w:rsidRPr="000627B3">
        <w:rPr>
          <w:rFonts w:ascii="Arial" w:hAnsi="Arial" w:cs="Arial"/>
          <w:b/>
          <w:bCs/>
        </w:rPr>
        <w:t>u</w:t>
      </w:r>
      <w:r w:rsidR="00C261E2" w:rsidRPr="000627B3">
        <w:rPr>
          <w:rFonts w:ascii="Arial" w:hAnsi="Arial" w:cs="Arial"/>
          <w:b/>
          <w:bCs/>
        </w:rPr>
        <w:t xml:space="preserve"> pustostanów </w:t>
      </w:r>
      <w:r w:rsidR="0C1AE037" w:rsidRPr="000627B3">
        <w:rPr>
          <w:rFonts w:ascii="Arial" w:hAnsi="Arial" w:cs="Arial"/>
          <w:b/>
          <w:bCs/>
        </w:rPr>
        <w:t xml:space="preserve">oraz koncentracja na jakościowych modernizacjach </w:t>
      </w:r>
      <w:r w:rsidR="00C261E2" w:rsidRPr="000627B3">
        <w:rPr>
          <w:rFonts w:ascii="Arial" w:hAnsi="Arial" w:cs="Arial"/>
          <w:b/>
          <w:bCs/>
        </w:rPr>
        <w:t xml:space="preserve">potwierdzają </w:t>
      </w:r>
      <w:r w:rsidR="22E4EEA8" w:rsidRPr="000627B3">
        <w:rPr>
          <w:rFonts w:ascii="Arial" w:hAnsi="Arial" w:cs="Arial"/>
          <w:b/>
          <w:bCs/>
        </w:rPr>
        <w:t>coraz bardziej</w:t>
      </w:r>
      <w:r w:rsidR="00C261E2" w:rsidRPr="000627B3">
        <w:rPr>
          <w:rFonts w:ascii="Arial" w:hAnsi="Arial" w:cs="Arial"/>
          <w:b/>
          <w:bCs/>
        </w:rPr>
        <w:t xml:space="preserve"> </w:t>
      </w:r>
      <w:r w:rsidR="22E4EEA8" w:rsidRPr="000627B3">
        <w:rPr>
          <w:rFonts w:ascii="Arial" w:hAnsi="Arial" w:cs="Arial"/>
          <w:b/>
          <w:bCs/>
        </w:rPr>
        <w:t>dojrzałą</w:t>
      </w:r>
      <w:r w:rsidR="00C261E2" w:rsidRPr="000627B3">
        <w:rPr>
          <w:rFonts w:ascii="Arial" w:hAnsi="Arial" w:cs="Arial"/>
          <w:b/>
          <w:bCs/>
        </w:rPr>
        <w:t xml:space="preserve"> kondycję sektora</w:t>
      </w:r>
      <w:r w:rsidR="00D93D0A" w:rsidRPr="000627B3">
        <w:rPr>
          <w:rFonts w:ascii="Arial" w:hAnsi="Arial" w:cs="Arial"/>
          <w:b/>
          <w:bCs/>
        </w:rPr>
        <w:t xml:space="preserve"> </w:t>
      </w:r>
      <w:r w:rsidR="00787D55" w:rsidRPr="000627B3">
        <w:rPr>
          <w:rFonts w:ascii="Arial" w:hAnsi="Arial" w:cs="Arial"/>
          <w:b/>
          <w:bCs/>
        </w:rPr>
        <w:t>–</w:t>
      </w:r>
      <w:r w:rsidR="00D93D0A" w:rsidRPr="000627B3">
        <w:rPr>
          <w:rFonts w:ascii="Arial" w:hAnsi="Arial" w:cs="Arial"/>
          <w:b/>
          <w:bCs/>
        </w:rPr>
        <w:t xml:space="preserve"> </w:t>
      </w:r>
      <w:r w:rsidR="00787D55" w:rsidRPr="000627B3">
        <w:rPr>
          <w:rFonts w:ascii="Arial" w:hAnsi="Arial" w:cs="Arial"/>
          <w:b/>
          <w:bCs/>
        </w:rPr>
        <w:t>wynika z raportu BNP Paribas Real Estate</w:t>
      </w:r>
      <w:r w:rsidR="007C2B86" w:rsidRPr="000627B3">
        <w:rPr>
          <w:rFonts w:ascii="Arial" w:hAnsi="Arial" w:cs="Arial"/>
          <w:b/>
          <w:bCs/>
        </w:rPr>
        <w:t xml:space="preserve"> Poland</w:t>
      </w:r>
      <w:r w:rsidR="00787D55" w:rsidRPr="000627B3">
        <w:rPr>
          <w:rFonts w:ascii="Arial" w:hAnsi="Arial" w:cs="Arial"/>
          <w:b/>
          <w:bCs/>
        </w:rPr>
        <w:t xml:space="preserve"> „Review.</w:t>
      </w:r>
      <w:r w:rsidR="00461A96" w:rsidRPr="000627B3">
        <w:rPr>
          <w:rFonts w:ascii="Arial" w:hAnsi="Arial" w:cs="Arial"/>
          <w:b/>
          <w:bCs/>
        </w:rPr>
        <w:t xml:space="preserve"> Rynek handlowy</w:t>
      </w:r>
      <w:r w:rsidR="007C2B86" w:rsidRPr="000627B3">
        <w:rPr>
          <w:rFonts w:ascii="Arial" w:hAnsi="Arial" w:cs="Arial"/>
          <w:b/>
          <w:bCs/>
        </w:rPr>
        <w:t xml:space="preserve"> w Polsce</w:t>
      </w:r>
      <w:r w:rsidR="00461A96" w:rsidRPr="000627B3">
        <w:rPr>
          <w:rFonts w:ascii="Arial" w:hAnsi="Arial" w:cs="Arial"/>
          <w:b/>
          <w:bCs/>
        </w:rPr>
        <w:t xml:space="preserve"> </w:t>
      </w:r>
      <w:r w:rsidR="007C2B86" w:rsidRPr="000627B3">
        <w:rPr>
          <w:rFonts w:ascii="Arial" w:hAnsi="Arial" w:cs="Arial"/>
          <w:b/>
          <w:bCs/>
        </w:rPr>
        <w:t>w</w:t>
      </w:r>
      <w:r w:rsidR="000627B3">
        <w:rPr>
          <w:rFonts w:ascii="Arial" w:hAnsi="Arial" w:cs="Arial"/>
          <w:b/>
          <w:bCs/>
        </w:rPr>
        <w:t xml:space="preserve"> </w:t>
      </w:r>
      <w:r w:rsidR="00461A96" w:rsidRPr="000627B3">
        <w:rPr>
          <w:rFonts w:ascii="Arial" w:hAnsi="Arial" w:cs="Arial"/>
          <w:b/>
          <w:bCs/>
        </w:rPr>
        <w:t>I kwarta</w:t>
      </w:r>
      <w:r w:rsidR="007C2B86" w:rsidRPr="000627B3">
        <w:rPr>
          <w:rFonts w:ascii="Arial" w:hAnsi="Arial" w:cs="Arial"/>
          <w:b/>
          <w:bCs/>
        </w:rPr>
        <w:t>le</w:t>
      </w:r>
      <w:r w:rsidR="00461A96" w:rsidRPr="000627B3">
        <w:rPr>
          <w:rFonts w:ascii="Arial" w:hAnsi="Arial" w:cs="Arial"/>
          <w:b/>
          <w:bCs/>
        </w:rPr>
        <w:t xml:space="preserve"> 2026 roku</w:t>
      </w:r>
      <w:r w:rsidR="000627B3">
        <w:rPr>
          <w:rFonts w:ascii="Arial" w:hAnsi="Arial" w:cs="Arial"/>
          <w:b/>
          <w:bCs/>
        </w:rPr>
        <w:t>”</w:t>
      </w:r>
      <w:r w:rsidR="00461A96" w:rsidRPr="000627B3">
        <w:rPr>
          <w:rFonts w:ascii="Arial" w:hAnsi="Arial" w:cs="Arial"/>
          <w:b/>
          <w:bCs/>
        </w:rPr>
        <w:t xml:space="preserve">. </w:t>
      </w:r>
    </w:p>
    <w:p w14:paraId="7F8A7A93" w14:textId="77777777" w:rsidR="00C261E2" w:rsidRPr="00435A4E" w:rsidRDefault="00C261E2" w:rsidP="00A51F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5FDD22" w14:textId="1FF426D2" w:rsidR="00BD3CDE" w:rsidRPr="000627B3" w:rsidRDefault="00435A4E" w:rsidP="00A51F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B050"/>
        </w:rPr>
      </w:pPr>
      <w:r w:rsidRPr="000627B3">
        <w:rPr>
          <w:rStyle w:val="normaltextrun"/>
          <w:rFonts w:ascii="Arial" w:hAnsi="Arial" w:cs="Arial"/>
          <w:b/>
          <w:bCs/>
          <w:color w:val="00B050"/>
          <w:shd w:val="clear" w:color="auto" w:fill="FFFFFF"/>
        </w:rPr>
        <w:t xml:space="preserve">Dojrzałość </w:t>
      </w:r>
      <w:r w:rsidR="00706BB9" w:rsidRPr="000627B3">
        <w:rPr>
          <w:rStyle w:val="normaltextrun"/>
          <w:rFonts w:ascii="Arial" w:hAnsi="Arial" w:cs="Arial"/>
          <w:b/>
          <w:bCs/>
          <w:color w:val="00B050"/>
          <w:shd w:val="clear" w:color="auto" w:fill="FFFFFF"/>
        </w:rPr>
        <w:t>rynku</w:t>
      </w:r>
      <w:r w:rsidRPr="000627B3">
        <w:rPr>
          <w:rStyle w:val="normaltextrun"/>
          <w:rFonts w:ascii="Arial" w:hAnsi="Arial" w:cs="Arial"/>
          <w:b/>
          <w:bCs/>
          <w:color w:val="00B050"/>
          <w:shd w:val="clear" w:color="auto" w:fill="FFFFFF"/>
        </w:rPr>
        <w:t xml:space="preserve"> handlowego</w:t>
      </w:r>
    </w:p>
    <w:p w14:paraId="5FE3AE6C" w14:textId="6D50E9A1" w:rsidR="00C57111" w:rsidRPr="000627B3" w:rsidRDefault="00C57111" w:rsidP="00C57111">
      <w:pPr>
        <w:pStyle w:val="paragraph"/>
        <w:spacing w:after="0"/>
        <w:jc w:val="both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>Od wybuchu pandemii COVID-19 polski rynek powierzchni handlowych wyraźnie odbudował swoją pozycję. Sektor elastycznie dostosował się do zmieniających się preferencji zakupowych konsumentów</w:t>
      </w:r>
      <w:r w:rsidR="00B71150" w:rsidRPr="000627B3">
        <w:rPr>
          <w:rFonts w:ascii="Arial" w:hAnsi="Arial" w:cs="Arial"/>
          <w:color w:val="000000" w:themeColor="text1"/>
        </w:rPr>
        <w:t xml:space="preserve">. </w:t>
      </w:r>
      <w:r w:rsidRPr="000627B3">
        <w:rPr>
          <w:rFonts w:ascii="Arial" w:hAnsi="Arial" w:cs="Arial"/>
          <w:color w:val="000000" w:themeColor="text1"/>
        </w:rPr>
        <w:t>Scenariusze zakładające kryzys tradycyjnego handlu nie sprawdziły się, a głównym motorem rozwoju rynku stały się parki handlowe, które obecnie dominują w strukturze nowej podaży. W ciągu ostatnich sześciu lat parki handlowe odpowiadały za około 1,8 mln m kw. nowej powierzchni, podczas gdy w segmencie centrów handlowych dostarczono około 400 tys. m kw.</w:t>
      </w:r>
    </w:p>
    <w:p w14:paraId="748DBE47" w14:textId="3C428B38" w:rsidR="00BD3CDE" w:rsidRPr="000627B3" w:rsidRDefault="00CE058E" w:rsidP="00C57111">
      <w:pPr>
        <w:pStyle w:val="paragraph"/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0627B3">
        <w:rPr>
          <w:rFonts w:ascii="Arial" w:hAnsi="Arial" w:cs="Arial"/>
          <w:i/>
          <w:iCs/>
          <w:color w:val="000000" w:themeColor="text1"/>
        </w:rPr>
        <w:t>–</w:t>
      </w:r>
      <w:r w:rsidR="007F78D0" w:rsidRPr="000627B3">
        <w:rPr>
          <w:rFonts w:ascii="Arial" w:hAnsi="Arial" w:cs="Arial"/>
          <w:i/>
          <w:iCs/>
          <w:color w:val="000000" w:themeColor="text1"/>
        </w:rPr>
        <w:t xml:space="preserve"> </w:t>
      </w:r>
      <w:r w:rsidR="00BD3CDE" w:rsidRPr="000627B3">
        <w:rPr>
          <w:rFonts w:ascii="Arial" w:hAnsi="Arial" w:cs="Arial"/>
          <w:i/>
          <w:iCs/>
          <w:color w:val="000000" w:themeColor="text1"/>
        </w:rPr>
        <w:t>Rynek centrów handlowych zbliża się do nasycenia, a aktywność inwestycyjna koncentruje się na modernizacjach, rozbudowach oraz repozycjonowaniu istniejących obiektów. Kluczowy trend stanowi przesunięcie akcentu z ilości na jakość, w tym dostosowanie oferty do ewoluujących potrzeb konsumentów. Widoczne są istotne zmiany w strukturze najemców, ze wzrostem udziału gastronomii, sportu i rekreacji, drogerii oraz marek z segmentu value retail</w:t>
      </w:r>
      <w:r w:rsidRPr="000627B3">
        <w:rPr>
          <w:rFonts w:ascii="Arial" w:hAnsi="Arial" w:cs="Arial"/>
          <w:color w:val="000000" w:themeColor="text1"/>
        </w:rPr>
        <w:t xml:space="preserve"> – podkreśla </w:t>
      </w:r>
      <w:r w:rsidRPr="000627B3">
        <w:rPr>
          <w:rFonts w:ascii="Arial" w:hAnsi="Arial" w:cs="Arial"/>
          <w:b/>
          <w:bCs/>
          <w:color w:val="000000" w:themeColor="text1"/>
        </w:rPr>
        <w:t>Anna Pływacz, Dyrektorka Działu Powierzchni Handlowych BNP Paribas Real Estate Poland.</w:t>
      </w:r>
    </w:p>
    <w:p w14:paraId="3AE424B2" w14:textId="77777777" w:rsidR="00D762E8" w:rsidRPr="000627B3" w:rsidRDefault="00D762E8" w:rsidP="00435A4E">
      <w:pPr>
        <w:pStyle w:val="paragraph"/>
        <w:jc w:val="both"/>
        <w:rPr>
          <w:rFonts w:ascii="Arial" w:hAnsi="Arial" w:cs="Arial"/>
          <w:b/>
          <w:bCs/>
          <w:color w:val="00B050"/>
        </w:rPr>
      </w:pPr>
      <w:r w:rsidRPr="000627B3">
        <w:rPr>
          <w:rFonts w:ascii="Arial" w:hAnsi="Arial" w:cs="Arial"/>
          <w:b/>
          <w:bCs/>
          <w:color w:val="00B050"/>
        </w:rPr>
        <w:t>Wysoki wolumen powierzchni w budowie</w:t>
      </w:r>
    </w:p>
    <w:p w14:paraId="33AF9646" w14:textId="495DA8D8" w:rsidR="005758DD" w:rsidRPr="000627B3" w:rsidRDefault="005758DD" w:rsidP="00435A4E">
      <w:pPr>
        <w:pStyle w:val="paragraph"/>
        <w:jc w:val="both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 xml:space="preserve">Analitycy BNP Paribas Real Estate </w:t>
      </w:r>
      <w:r w:rsidR="007C2B86" w:rsidRPr="000627B3">
        <w:rPr>
          <w:rFonts w:ascii="Arial" w:hAnsi="Arial" w:cs="Arial"/>
          <w:color w:val="000000" w:themeColor="text1"/>
        </w:rPr>
        <w:t xml:space="preserve">Poland </w:t>
      </w:r>
      <w:r w:rsidRPr="000627B3">
        <w:rPr>
          <w:rFonts w:ascii="Arial" w:hAnsi="Arial" w:cs="Arial"/>
          <w:color w:val="000000" w:themeColor="text1"/>
        </w:rPr>
        <w:t>wskazują, że na koniec marca 2026 roku w budowie znajdowało się około 850 tys. m kw. nowoczesnej powierzchni handlowej, obejmującej zarówno nowe inwestycje, jak i rozbudowy istniejących obiektów. W latach 2026–2027 planowane jest oddanie ponad 663 tys. m kw. nowej powierzchni, co oznacza wzrost o 90% w porównaniu z ubiegłym rokiem.</w:t>
      </w:r>
    </w:p>
    <w:p w14:paraId="1128942E" w14:textId="1C2CD8BD" w:rsidR="00D5456B" w:rsidRPr="000627B3" w:rsidRDefault="005758DD" w:rsidP="00435A4E">
      <w:pPr>
        <w:pStyle w:val="paragraph"/>
        <w:jc w:val="both"/>
        <w:rPr>
          <w:rStyle w:val="eop"/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>Dominującym formatem pozostają parki handlowe, które odpowiadają za ponad 780 tys. m kw. realizowanej powierzchni, czyli 92% całkowitego wolumenu inwestycji. Potwierdza to utrzymujące się zainteresowanie tym segmentem zarówno wśród deweloperów, jak i inwestorów</w:t>
      </w:r>
      <w:r w:rsidR="00B71150" w:rsidRPr="000627B3">
        <w:rPr>
          <w:rFonts w:ascii="Arial" w:hAnsi="Arial" w:cs="Arial"/>
          <w:color w:val="000000" w:themeColor="text1"/>
        </w:rPr>
        <w:t xml:space="preserve"> kapitałowych</w:t>
      </w:r>
      <w:r w:rsidRPr="000627B3">
        <w:rPr>
          <w:rFonts w:ascii="Arial" w:hAnsi="Arial" w:cs="Arial"/>
          <w:color w:val="000000" w:themeColor="text1"/>
        </w:rPr>
        <w:t>.</w:t>
      </w:r>
      <w:r w:rsidR="003E70AB" w:rsidRPr="000627B3">
        <w:rPr>
          <w:rFonts w:ascii="Arial" w:hAnsi="Arial" w:cs="Arial"/>
          <w:color w:val="000000" w:themeColor="text1"/>
        </w:rPr>
        <w:t xml:space="preserve"> 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 xml:space="preserve">Do największych </w:t>
      </w:r>
      <w:r w:rsidR="001C3C35" w:rsidRPr="000627B3">
        <w:rPr>
          <w:rStyle w:val="normaltextrun"/>
          <w:rFonts w:ascii="Arial" w:hAnsi="Arial" w:cs="Arial"/>
          <w:color w:val="000000" w:themeColor="text1"/>
        </w:rPr>
        <w:t xml:space="preserve">realizowanych inwestycji 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>należ</w:t>
      </w:r>
      <w:r w:rsidR="0071059F" w:rsidRPr="000627B3">
        <w:rPr>
          <w:rStyle w:val="normaltextrun"/>
          <w:rFonts w:ascii="Arial" w:hAnsi="Arial" w:cs="Arial"/>
          <w:color w:val="000000" w:themeColor="text1"/>
        </w:rPr>
        <w:t>ą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1C3C35" w:rsidRPr="000627B3">
        <w:rPr>
          <w:rStyle w:val="normaltextrun"/>
          <w:rFonts w:ascii="Arial" w:hAnsi="Arial" w:cs="Arial"/>
          <w:color w:val="000000" w:themeColor="text1"/>
        </w:rPr>
        <w:t>projekt</w:t>
      </w:r>
      <w:r w:rsidR="0071059F" w:rsidRPr="000627B3">
        <w:rPr>
          <w:rStyle w:val="normaltextrun"/>
          <w:rFonts w:ascii="Arial" w:hAnsi="Arial" w:cs="Arial"/>
          <w:color w:val="000000" w:themeColor="text1"/>
        </w:rPr>
        <w:t>y</w:t>
      </w:r>
      <w:r w:rsidR="001C3C35" w:rsidRPr="000627B3">
        <w:rPr>
          <w:rStyle w:val="normaltextrun"/>
          <w:rFonts w:ascii="Arial" w:hAnsi="Arial" w:cs="Arial"/>
          <w:color w:val="000000" w:themeColor="text1"/>
        </w:rPr>
        <w:t xml:space="preserve"> BIG Piła 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>(</w:t>
      </w:r>
      <w:r w:rsidR="001C3C35" w:rsidRPr="000627B3">
        <w:rPr>
          <w:rStyle w:val="normaltextrun"/>
          <w:rFonts w:ascii="Arial" w:hAnsi="Arial" w:cs="Arial"/>
          <w:color w:val="000000" w:themeColor="text1"/>
        </w:rPr>
        <w:t>38</w:t>
      </w:r>
      <w:r w:rsidR="0071059F" w:rsidRPr="000627B3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>tys. m kw.)</w:t>
      </w:r>
      <w:r w:rsidR="0071059F" w:rsidRPr="000627B3">
        <w:rPr>
          <w:rStyle w:val="normaltextrun"/>
          <w:rFonts w:ascii="Arial" w:hAnsi="Arial" w:cs="Arial"/>
          <w:color w:val="000000" w:themeColor="text1"/>
        </w:rPr>
        <w:t>, MMG Centers Krosno (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>2</w:t>
      </w:r>
      <w:r w:rsidR="0071059F" w:rsidRPr="000627B3">
        <w:rPr>
          <w:rStyle w:val="normaltextrun"/>
          <w:rFonts w:ascii="Arial" w:hAnsi="Arial" w:cs="Arial"/>
          <w:color w:val="000000" w:themeColor="text1"/>
        </w:rPr>
        <w:t>6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 xml:space="preserve"> tys. m 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lastRenderedPageBreak/>
        <w:t>kw.)</w:t>
      </w:r>
      <w:r w:rsidR="00066C80" w:rsidRPr="000627B3">
        <w:rPr>
          <w:rStyle w:val="normaltextrun"/>
          <w:rFonts w:ascii="Arial" w:hAnsi="Arial" w:cs="Arial"/>
          <w:color w:val="000000" w:themeColor="text1"/>
        </w:rPr>
        <w:t>,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C55A1A" w:rsidRPr="000627B3">
        <w:rPr>
          <w:rStyle w:val="normaltextrun"/>
          <w:rFonts w:ascii="Arial" w:hAnsi="Arial" w:cs="Arial"/>
          <w:color w:val="000000" w:themeColor="text1"/>
        </w:rPr>
        <w:t>Brama Bieszczad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C55A1A" w:rsidRPr="000627B3">
        <w:rPr>
          <w:rStyle w:val="normaltextrun"/>
          <w:rFonts w:ascii="Arial" w:hAnsi="Arial" w:cs="Arial"/>
          <w:color w:val="000000" w:themeColor="text1"/>
        </w:rPr>
        <w:t xml:space="preserve">w Sanoku 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>(2</w:t>
      </w:r>
      <w:r w:rsidR="00C55A1A" w:rsidRPr="000627B3">
        <w:rPr>
          <w:rStyle w:val="normaltextrun"/>
          <w:rFonts w:ascii="Arial" w:hAnsi="Arial" w:cs="Arial"/>
          <w:color w:val="000000" w:themeColor="text1"/>
        </w:rPr>
        <w:t>3</w:t>
      </w:r>
      <w:r w:rsidR="00D5456B" w:rsidRPr="000627B3">
        <w:rPr>
          <w:rStyle w:val="normaltextrun"/>
          <w:rFonts w:ascii="Arial" w:hAnsi="Arial" w:cs="Arial"/>
          <w:color w:val="000000" w:themeColor="text1"/>
        </w:rPr>
        <w:t xml:space="preserve"> tys. m kw.)</w:t>
      </w:r>
      <w:r w:rsidR="00066C80" w:rsidRPr="000627B3">
        <w:rPr>
          <w:rStyle w:val="normaltextrun"/>
          <w:rFonts w:ascii="Arial" w:hAnsi="Arial" w:cs="Arial"/>
          <w:color w:val="000000" w:themeColor="text1"/>
        </w:rPr>
        <w:t xml:space="preserve"> oraz PH Świderek w Otwocku (23 tys. m kw.).</w:t>
      </w:r>
    </w:p>
    <w:p w14:paraId="6581CB36" w14:textId="38D34150" w:rsidR="003E70AB" w:rsidRPr="000627B3" w:rsidRDefault="006D1191" w:rsidP="000627B3">
      <w:pPr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0627B3">
        <w:rPr>
          <w:rFonts w:ascii="Arial" w:hAnsi="Arial" w:cs="Arial"/>
          <w:b/>
          <w:bCs/>
          <w:color w:val="00B050"/>
          <w:sz w:val="24"/>
          <w:szCs w:val="24"/>
        </w:rPr>
        <w:t>Więcej różnorodnych parków handlowych</w:t>
      </w:r>
    </w:p>
    <w:p w14:paraId="2B28351E" w14:textId="77777777" w:rsidR="00807B41" w:rsidRPr="000627B3" w:rsidRDefault="00B73138" w:rsidP="00435A4E">
      <w:pPr>
        <w:pStyle w:val="paragraph"/>
        <w:spacing w:after="0"/>
        <w:jc w:val="both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 xml:space="preserve">W okresie od stycznia do końca marca 2026 roku oddano do użytkowania ponad 76 tys. m kw. nowoczesnej powierzchni handlowej, co oznacza wzrost o 70% rok do roku. Jednocześnie wynik ten był niższy względem bardzo aktywnej końcówki poprzedniego kwartału. </w:t>
      </w:r>
    </w:p>
    <w:p w14:paraId="4685C8AB" w14:textId="04938A2B" w:rsidR="002B4C4C" w:rsidRPr="000627B3" w:rsidRDefault="000F3460" w:rsidP="00435A4E">
      <w:pPr>
        <w:pStyle w:val="paragraph"/>
        <w:spacing w:after="0"/>
        <w:jc w:val="both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 xml:space="preserve">Wśród największych obiektów handlowych oddanych do użytkowania w I kwartale znalazł się San Park Piaseczno </w:t>
      </w:r>
      <w:r w:rsidR="00A53387" w:rsidRPr="000627B3">
        <w:rPr>
          <w:rFonts w:ascii="Arial" w:hAnsi="Arial" w:cs="Arial"/>
          <w:color w:val="000000" w:themeColor="text1"/>
        </w:rPr>
        <w:t>I</w:t>
      </w:r>
      <w:r w:rsidRPr="000627B3">
        <w:rPr>
          <w:rFonts w:ascii="Arial" w:hAnsi="Arial" w:cs="Arial"/>
          <w:color w:val="000000" w:themeColor="text1"/>
        </w:rPr>
        <w:t>I faza w Mysiadle koło Piaseczna, oferujący 15,9 tys. m kw. powierzchni handlowej</w:t>
      </w:r>
      <w:r w:rsidR="00A53387" w:rsidRPr="000627B3">
        <w:rPr>
          <w:rFonts w:ascii="Arial" w:hAnsi="Arial" w:cs="Arial"/>
          <w:color w:val="000000" w:themeColor="text1"/>
        </w:rPr>
        <w:t xml:space="preserve"> na potrzeby Agata Meble</w:t>
      </w:r>
      <w:r w:rsidRPr="000627B3">
        <w:rPr>
          <w:rFonts w:ascii="Arial" w:hAnsi="Arial" w:cs="Arial"/>
          <w:color w:val="000000" w:themeColor="text1"/>
        </w:rPr>
        <w:t>. Do kluczowych realizacji należały również M Park Bogatynia (8,2 tys. m kw.) oraz Park Handlowy Tomaszów Lubelski (8 tys. m kw.)</w:t>
      </w:r>
      <w:r w:rsidR="00F13F5F" w:rsidRPr="000627B3">
        <w:rPr>
          <w:rFonts w:ascii="Arial" w:hAnsi="Arial" w:cs="Arial"/>
          <w:color w:val="000000" w:themeColor="text1"/>
        </w:rPr>
        <w:t>.</w:t>
      </w:r>
    </w:p>
    <w:p w14:paraId="5FB0CBA0" w14:textId="79783611" w:rsidR="00BD3CDE" w:rsidRPr="000627B3" w:rsidRDefault="009A6DFA" w:rsidP="00620AAF">
      <w:pPr>
        <w:pStyle w:val="paragraph"/>
        <w:spacing w:after="0"/>
        <w:jc w:val="both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>W segmencie parków handlowych, obok dominującej funkcji zakupowej, coraz większe znaczenie zyskują usługi oraz gastronomia. Rosnącą popularnością cieszą się również sklepy modowe i drogerie. Mimo postępującej dywersyfikacji tenant mix parków handlowych pozostaje stosunkowo wąski i oparty głównie na powtarzalnych markach. Jednocześnie najlepiej funkcjonujące obiekty</w:t>
      </w:r>
      <w:r w:rsidR="00807B41" w:rsidRPr="000627B3">
        <w:rPr>
          <w:rFonts w:ascii="Arial" w:hAnsi="Arial" w:cs="Arial"/>
          <w:color w:val="000000" w:themeColor="text1"/>
        </w:rPr>
        <w:t xml:space="preserve">, </w:t>
      </w:r>
      <w:r w:rsidRPr="000627B3">
        <w:rPr>
          <w:rFonts w:ascii="Arial" w:hAnsi="Arial" w:cs="Arial"/>
          <w:color w:val="000000" w:themeColor="text1"/>
        </w:rPr>
        <w:t>szczególnie zlokalizowane w pobliżu dużych aglomeracji</w:t>
      </w:r>
      <w:r w:rsidR="00807B41" w:rsidRPr="000627B3">
        <w:rPr>
          <w:rFonts w:ascii="Arial" w:hAnsi="Arial" w:cs="Arial"/>
          <w:color w:val="000000" w:themeColor="text1"/>
        </w:rPr>
        <w:t xml:space="preserve">, </w:t>
      </w:r>
      <w:r w:rsidRPr="000627B3">
        <w:rPr>
          <w:rFonts w:ascii="Arial" w:hAnsi="Arial" w:cs="Arial"/>
          <w:color w:val="000000" w:themeColor="text1"/>
        </w:rPr>
        <w:t>coraz częściej przyciągają marki dotychczas obecne wyłącznie w tradycyjnych centrach handlowych.</w:t>
      </w:r>
    </w:p>
    <w:p w14:paraId="24C0FAC2" w14:textId="6554B2CF" w:rsidR="00A51FBD" w:rsidRPr="000627B3" w:rsidRDefault="00A51FBD" w:rsidP="00435A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B050"/>
        </w:rPr>
      </w:pPr>
      <w:r w:rsidRPr="000627B3">
        <w:rPr>
          <w:rStyle w:val="normaltextrun"/>
          <w:rFonts w:ascii="Arial" w:hAnsi="Arial" w:cs="Arial"/>
          <w:b/>
          <w:bCs/>
          <w:color w:val="00B050"/>
        </w:rPr>
        <w:t xml:space="preserve">Wskaźnik nasycenia i </w:t>
      </w:r>
      <w:r w:rsidR="00D20B0E" w:rsidRPr="000627B3">
        <w:rPr>
          <w:rStyle w:val="normaltextrun"/>
          <w:rFonts w:ascii="Arial" w:hAnsi="Arial" w:cs="Arial"/>
          <w:b/>
          <w:bCs/>
          <w:color w:val="00B050"/>
        </w:rPr>
        <w:t>pustostanów</w:t>
      </w:r>
    </w:p>
    <w:p w14:paraId="771C1B1A" w14:textId="77777777" w:rsidR="00A51FBD" w:rsidRPr="000627B3" w:rsidRDefault="00A51FBD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59029B9C" w14:textId="71F5F77C" w:rsidR="00A51FBD" w:rsidRPr="000627B3" w:rsidRDefault="00A51FBD" w:rsidP="00435A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0627B3">
        <w:rPr>
          <w:rStyle w:val="normaltextrun"/>
          <w:rFonts w:ascii="Arial" w:hAnsi="Arial" w:cs="Arial"/>
          <w:color w:val="000000" w:themeColor="text1"/>
        </w:rPr>
        <w:t>Analizując całkowity dostępny wolumen nowoczesnej powierzchni handlowej, obejmującej centra handlowe, centra wyprzedażowe, parki handlowe oraz wolnostojące obiekty handlowe, to za największym rynkiem warszawskim (2,</w:t>
      </w:r>
      <w:r w:rsidR="00046775" w:rsidRPr="000627B3">
        <w:rPr>
          <w:rStyle w:val="normaltextrun"/>
          <w:rFonts w:ascii="Arial" w:hAnsi="Arial" w:cs="Arial"/>
          <w:color w:val="000000" w:themeColor="text1"/>
        </w:rPr>
        <w:t>3</w:t>
      </w:r>
      <w:r w:rsidRPr="000627B3">
        <w:rPr>
          <w:rStyle w:val="normaltextrun"/>
          <w:rFonts w:ascii="Arial" w:hAnsi="Arial" w:cs="Arial"/>
          <w:color w:val="000000" w:themeColor="text1"/>
        </w:rPr>
        <w:t xml:space="preserve"> mln m kw.), plasuje się konurbacja katowicka (1</w:t>
      </w:r>
      <w:r w:rsidR="00BB6DE5" w:rsidRPr="000627B3">
        <w:rPr>
          <w:rStyle w:val="normaltextrun"/>
          <w:rFonts w:ascii="Arial" w:hAnsi="Arial" w:cs="Arial"/>
          <w:color w:val="000000" w:themeColor="text1"/>
        </w:rPr>
        <w:t>,5</w:t>
      </w:r>
      <w:r w:rsidRPr="000627B3">
        <w:rPr>
          <w:rStyle w:val="normaltextrun"/>
          <w:rFonts w:ascii="Arial" w:hAnsi="Arial" w:cs="Arial"/>
          <w:color w:val="000000" w:themeColor="text1"/>
        </w:rPr>
        <w:t xml:space="preserve"> mln m kw.) oraz Trójmiasto (</w:t>
      </w:r>
      <w:r w:rsidR="00024B0A" w:rsidRPr="000627B3">
        <w:rPr>
          <w:rStyle w:val="normaltextrun"/>
          <w:rFonts w:ascii="Arial" w:hAnsi="Arial" w:cs="Arial"/>
          <w:color w:val="000000" w:themeColor="text1"/>
        </w:rPr>
        <w:t xml:space="preserve">prawie 1 mln </w:t>
      </w:r>
      <w:r w:rsidRPr="000627B3">
        <w:rPr>
          <w:rStyle w:val="normaltextrun"/>
          <w:rFonts w:ascii="Arial" w:hAnsi="Arial" w:cs="Arial"/>
          <w:color w:val="000000" w:themeColor="text1"/>
        </w:rPr>
        <w:t>m</w:t>
      </w:r>
      <w:r w:rsidR="00CD16FB" w:rsidRPr="000627B3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0627B3">
        <w:rPr>
          <w:rStyle w:val="normaltextrun"/>
          <w:rFonts w:ascii="Arial" w:hAnsi="Arial" w:cs="Arial"/>
          <w:color w:val="000000" w:themeColor="text1"/>
        </w:rPr>
        <w:t>kw</w:t>
      </w:r>
      <w:r w:rsidR="00CD16FB" w:rsidRPr="000627B3">
        <w:rPr>
          <w:rStyle w:val="normaltextrun"/>
          <w:rFonts w:ascii="Arial" w:hAnsi="Arial" w:cs="Arial"/>
          <w:color w:val="000000" w:themeColor="text1"/>
        </w:rPr>
        <w:t>.</w:t>
      </w:r>
      <w:r w:rsidRPr="000627B3">
        <w:rPr>
          <w:rStyle w:val="normaltextrun"/>
          <w:rFonts w:ascii="Arial" w:hAnsi="Arial" w:cs="Arial"/>
          <w:color w:val="000000" w:themeColor="text1"/>
        </w:rPr>
        <w:t>).</w:t>
      </w:r>
      <w:r w:rsidRPr="000627B3">
        <w:rPr>
          <w:rStyle w:val="eop"/>
          <w:rFonts w:ascii="Arial" w:hAnsi="Arial" w:cs="Arial"/>
          <w:color w:val="000000" w:themeColor="text1"/>
        </w:rPr>
        <w:t> </w:t>
      </w:r>
      <w:r w:rsidR="002A62A9" w:rsidRPr="000627B3">
        <w:rPr>
          <w:rStyle w:val="normaltextrun"/>
          <w:rFonts w:ascii="Arial" w:hAnsi="Arial" w:cs="Arial"/>
          <w:color w:val="000000" w:themeColor="text1"/>
        </w:rPr>
        <w:t>Z kolei n</w:t>
      </w:r>
      <w:r w:rsidRPr="000627B3">
        <w:rPr>
          <w:rStyle w:val="normaltextrun"/>
          <w:rFonts w:ascii="Arial" w:hAnsi="Arial" w:cs="Arial"/>
          <w:color w:val="000000" w:themeColor="text1"/>
        </w:rPr>
        <w:t>ajwyższe wskaźniki nasycenia obserwuje się w aglomeracjach wrocławskiej i poznańskiej, gdzie kształtują się one na poziomie odpowiednio 10</w:t>
      </w:r>
      <w:r w:rsidR="0084213E" w:rsidRPr="000627B3">
        <w:rPr>
          <w:rStyle w:val="normaltextrun"/>
          <w:rFonts w:ascii="Arial" w:hAnsi="Arial" w:cs="Arial"/>
          <w:color w:val="000000" w:themeColor="text1"/>
        </w:rPr>
        <w:t>44</w:t>
      </w:r>
      <w:r w:rsidRPr="000627B3">
        <w:rPr>
          <w:rStyle w:val="normaltextrun"/>
          <w:rFonts w:ascii="Arial" w:hAnsi="Arial" w:cs="Arial"/>
          <w:color w:val="000000" w:themeColor="text1"/>
        </w:rPr>
        <w:t xml:space="preserve"> i </w:t>
      </w:r>
      <w:r w:rsidR="0084213E" w:rsidRPr="000627B3">
        <w:rPr>
          <w:rStyle w:val="normaltextrun"/>
          <w:rFonts w:ascii="Arial" w:hAnsi="Arial" w:cs="Arial"/>
          <w:color w:val="000000" w:themeColor="text1"/>
        </w:rPr>
        <w:t>1005</w:t>
      </w:r>
      <w:r w:rsidRPr="000627B3">
        <w:rPr>
          <w:rStyle w:val="normaltextrun"/>
          <w:rFonts w:ascii="Arial" w:hAnsi="Arial" w:cs="Arial"/>
          <w:color w:val="000000" w:themeColor="text1"/>
        </w:rPr>
        <w:t xml:space="preserve"> m kw. w przeliczeniu na 1000 mieszkańców. </w:t>
      </w:r>
    </w:p>
    <w:p w14:paraId="0E7085AE" w14:textId="77777777" w:rsidR="00D20B0E" w:rsidRPr="000627B3" w:rsidRDefault="00D20B0E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0273C211" w14:textId="71F78E87" w:rsidR="00E51661" w:rsidRPr="000627B3" w:rsidRDefault="00E51661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 xml:space="preserve">W </w:t>
      </w:r>
      <w:r w:rsidR="00B906A2" w:rsidRPr="000627B3">
        <w:rPr>
          <w:rFonts w:ascii="Arial" w:hAnsi="Arial" w:cs="Arial"/>
          <w:color w:val="000000" w:themeColor="text1"/>
        </w:rPr>
        <w:t xml:space="preserve">I </w:t>
      </w:r>
      <w:r w:rsidR="00CD16FB" w:rsidRPr="000627B3">
        <w:rPr>
          <w:rFonts w:ascii="Arial" w:hAnsi="Arial" w:cs="Arial"/>
          <w:color w:val="000000" w:themeColor="text1"/>
        </w:rPr>
        <w:t xml:space="preserve">połowie </w:t>
      </w:r>
      <w:r w:rsidR="00B906A2" w:rsidRPr="000627B3">
        <w:rPr>
          <w:rFonts w:ascii="Arial" w:hAnsi="Arial" w:cs="Arial"/>
          <w:color w:val="000000" w:themeColor="text1"/>
        </w:rPr>
        <w:t>202</w:t>
      </w:r>
      <w:r w:rsidR="00CD16FB" w:rsidRPr="000627B3">
        <w:rPr>
          <w:rFonts w:ascii="Arial" w:hAnsi="Arial" w:cs="Arial"/>
          <w:color w:val="000000" w:themeColor="text1"/>
        </w:rPr>
        <w:t>5</w:t>
      </w:r>
      <w:r w:rsidR="00B906A2" w:rsidRPr="000627B3">
        <w:rPr>
          <w:rFonts w:ascii="Arial" w:hAnsi="Arial" w:cs="Arial"/>
          <w:color w:val="000000" w:themeColor="text1"/>
        </w:rPr>
        <w:t xml:space="preserve"> </w:t>
      </w:r>
      <w:r w:rsidRPr="000627B3">
        <w:rPr>
          <w:rFonts w:ascii="Arial" w:hAnsi="Arial" w:cs="Arial"/>
          <w:color w:val="000000" w:themeColor="text1"/>
        </w:rPr>
        <w:t xml:space="preserve">roku średni wskaźnik pustostanów wyniósł 2,8%, co oznacza spadek o 0,6 p.p. rok do roku. Najniższy poziom niewynajętej powierzchni odnotowano w Szczecinie (1,8%) oraz w Warszawie (1,9%), natomiast najwyższy we Wrocławiu (4,1%) i Poznaniu (3,6%). W większości analizowanych aglomeracji wskaźnik pustostanów uległ obniżeniu, </w:t>
      </w:r>
      <w:r w:rsidR="00B71150" w:rsidRPr="000627B3">
        <w:rPr>
          <w:rFonts w:ascii="Arial" w:hAnsi="Arial" w:cs="Arial"/>
          <w:color w:val="000000" w:themeColor="text1"/>
        </w:rPr>
        <w:t>co wskazuje na utrzymującą się równowagę rynkową oraz stabilny poziom popytu.</w:t>
      </w:r>
    </w:p>
    <w:p w14:paraId="457121C8" w14:textId="77777777" w:rsidR="00056B21" w:rsidRPr="000627B3" w:rsidRDefault="00056B21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142DE0C1" w14:textId="7A07A390" w:rsidR="00056B21" w:rsidRPr="000627B3" w:rsidRDefault="00056B21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B050"/>
        </w:rPr>
      </w:pPr>
      <w:r w:rsidRPr="000627B3">
        <w:rPr>
          <w:rFonts w:ascii="Arial" w:hAnsi="Arial" w:cs="Arial"/>
          <w:b/>
          <w:bCs/>
          <w:color w:val="00B050"/>
        </w:rPr>
        <w:t xml:space="preserve">Poprawa sprzedaży i </w:t>
      </w:r>
      <w:r w:rsidR="006A4867" w:rsidRPr="000627B3">
        <w:rPr>
          <w:rFonts w:ascii="Arial" w:hAnsi="Arial" w:cs="Arial"/>
          <w:b/>
          <w:bCs/>
          <w:color w:val="00B050"/>
        </w:rPr>
        <w:t>presja czynszowa</w:t>
      </w:r>
    </w:p>
    <w:p w14:paraId="7F044D10" w14:textId="77777777" w:rsidR="00056B21" w:rsidRPr="000627B3" w:rsidRDefault="00056B21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2DE8BCF3" w14:textId="71281C34" w:rsidR="00E51661" w:rsidRPr="000627B3" w:rsidRDefault="00E51661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>Dane dotyczące funkcjonowania</w:t>
      </w:r>
      <w:r w:rsidR="00E14464" w:rsidRPr="000627B3">
        <w:rPr>
          <w:rFonts w:ascii="Arial" w:hAnsi="Arial" w:cs="Arial"/>
          <w:color w:val="000000" w:themeColor="text1"/>
        </w:rPr>
        <w:t xml:space="preserve"> rynku handlowego </w:t>
      </w:r>
      <w:r w:rsidRPr="000627B3">
        <w:rPr>
          <w:rFonts w:ascii="Arial" w:hAnsi="Arial" w:cs="Arial"/>
          <w:color w:val="000000" w:themeColor="text1"/>
        </w:rPr>
        <w:t>wskazują również na poprawę wyników sprzedażowych. W lutym 202</w:t>
      </w:r>
      <w:r w:rsidR="00E14464" w:rsidRPr="000627B3">
        <w:rPr>
          <w:rFonts w:ascii="Arial" w:hAnsi="Arial" w:cs="Arial"/>
          <w:color w:val="000000" w:themeColor="text1"/>
        </w:rPr>
        <w:t>6</w:t>
      </w:r>
      <w:r w:rsidRPr="000627B3">
        <w:rPr>
          <w:rFonts w:ascii="Arial" w:hAnsi="Arial" w:cs="Arial"/>
          <w:color w:val="000000" w:themeColor="text1"/>
        </w:rPr>
        <w:t xml:space="preserve"> roku obroty wzrosły o 1,7% rok do roku, przy jednoczesnym spadku odwiedzalności o 0,9%. </w:t>
      </w:r>
      <w:r w:rsidR="003D31C0" w:rsidRPr="000627B3">
        <w:rPr>
          <w:rFonts w:ascii="Arial" w:hAnsi="Arial" w:cs="Arial"/>
          <w:color w:val="000000" w:themeColor="text1"/>
        </w:rPr>
        <w:t>Jak wskazują dane GUS za luty 2026 roku, zarówno sprzedaż detaliczna, jak i internetowa odnotowały wzrost w ujęciu rocznym – odpowiednio o 5% oraz 9,3%.</w:t>
      </w:r>
    </w:p>
    <w:p w14:paraId="4AD28A69" w14:textId="77777777" w:rsidR="00A51FBD" w:rsidRPr="000627B3" w:rsidRDefault="00A51FBD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745467A3" w14:textId="51914CC5" w:rsidR="008B5819" w:rsidRPr="000627B3" w:rsidRDefault="00530FCC" w:rsidP="00435A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0627B3">
        <w:rPr>
          <w:rStyle w:val="normaltextrun"/>
          <w:rFonts w:ascii="Arial" w:hAnsi="Arial" w:cs="Arial"/>
          <w:color w:val="000000" w:themeColor="text1"/>
        </w:rPr>
        <w:lastRenderedPageBreak/>
        <w:t>P</w:t>
      </w:r>
      <w:r w:rsidR="00A51FBD" w:rsidRPr="000627B3">
        <w:rPr>
          <w:rStyle w:val="normaltextrun"/>
          <w:rFonts w:ascii="Arial" w:hAnsi="Arial" w:cs="Arial"/>
          <w:color w:val="000000" w:themeColor="text1"/>
        </w:rPr>
        <w:t xml:space="preserve">ierwszy kwartał nowego roku to </w:t>
      </w:r>
      <w:r w:rsidR="003D31C0" w:rsidRPr="000627B3">
        <w:rPr>
          <w:rStyle w:val="normaltextrun"/>
          <w:rFonts w:ascii="Arial" w:hAnsi="Arial" w:cs="Arial"/>
          <w:color w:val="000000" w:themeColor="text1"/>
        </w:rPr>
        <w:t xml:space="preserve">także </w:t>
      </w:r>
      <w:r w:rsidR="00A51FBD" w:rsidRPr="000627B3">
        <w:rPr>
          <w:rStyle w:val="normaltextrun"/>
          <w:rFonts w:ascii="Arial" w:hAnsi="Arial" w:cs="Arial"/>
          <w:color w:val="000000" w:themeColor="text1"/>
        </w:rPr>
        <w:t xml:space="preserve">czas debiutów nowych marek w Polsce. Na rynku handlowym pojawiły się m.in. </w:t>
      </w:r>
      <w:r w:rsidR="008B5819" w:rsidRPr="000627B3">
        <w:rPr>
          <w:rStyle w:val="normaltextrun"/>
          <w:rFonts w:ascii="Arial" w:hAnsi="Arial" w:cs="Arial"/>
          <w:color w:val="000000" w:themeColor="text1"/>
        </w:rPr>
        <w:t>kanadyjska marka Lululemon, azjatycka sieć XIMI V oraz internetowy koncept Søstrene Grene, który zapowiedział także otwarcie sklepu stacjonarnego w Warszawie.</w:t>
      </w:r>
    </w:p>
    <w:p w14:paraId="77F9706D" w14:textId="77777777" w:rsidR="003D31C0" w:rsidRPr="000627B3" w:rsidRDefault="003D31C0" w:rsidP="00435A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43D254AD" w14:textId="7BC4F88C" w:rsidR="00EB71B6" w:rsidRPr="000627B3" w:rsidRDefault="00EB71B6" w:rsidP="00435A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0627B3">
        <w:rPr>
          <w:rFonts w:ascii="Arial" w:hAnsi="Arial" w:cs="Arial"/>
          <w:color w:val="000000" w:themeColor="text1"/>
        </w:rPr>
        <w:t xml:space="preserve">Wyraźna poprawa </w:t>
      </w:r>
      <w:r w:rsidR="006A4867" w:rsidRPr="000627B3">
        <w:rPr>
          <w:rFonts w:ascii="Arial" w:hAnsi="Arial" w:cs="Arial"/>
          <w:color w:val="000000" w:themeColor="text1"/>
        </w:rPr>
        <w:t>koniunktury</w:t>
      </w:r>
      <w:r w:rsidR="00B71150" w:rsidRPr="000627B3">
        <w:rPr>
          <w:rFonts w:ascii="Arial" w:hAnsi="Arial" w:cs="Arial"/>
          <w:color w:val="000000" w:themeColor="text1"/>
        </w:rPr>
        <w:t xml:space="preserve"> w handlu detalicznym</w:t>
      </w:r>
      <w:r w:rsidR="006A4867" w:rsidRPr="000627B3">
        <w:rPr>
          <w:rFonts w:ascii="Arial" w:hAnsi="Arial" w:cs="Arial"/>
          <w:color w:val="000000" w:themeColor="text1"/>
        </w:rPr>
        <w:t xml:space="preserve"> oraz realny wzrost sprzedaży detalicznej, </w:t>
      </w:r>
      <w:r w:rsidRPr="000627B3">
        <w:rPr>
          <w:rFonts w:ascii="Arial" w:hAnsi="Arial" w:cs="Arial"/>
          <w:color w:val="000000" w:themeColor="text1"/>
        </w:rPr>
        <w:t>przekłada się na</w:t>
      </w:r>
      <w:r w:rsidR="006A4867" w:rsidRPr="000627B3">
        <w:rPr>
          <w:rFonts w:ascii="Arial" w:hAnsi="Arial" w:cs="Arial"/>
          <w:color w:val="000000" w:themeColor="text1"/>
        </w:rPr>
        <w:t xml:space="preserve"> podwyżki czynszów w niemal wszystkich formatach. </w:t>
      </w:r>
    </w:p>
    <w:p w14:paraId="33157E6D" w14:textId="491A7472" w:rsidR="003E6948" w:rsidRPr="000627B3" w:rsidRDefault="0095020C" w:rsidP="00435A4E">
      <w:pPr>
        <w:pStyle w:val="paragraph"/>
        <w:jc w:val="both"/>
        <w:rPr>
          <w:rFonts w:ascii="Arial" w:hAnsi="Arial" w:cs="Arial"/>
          <w:b/>
          <w:bCs/>
          <w:color w:val="000000" w:themeColor="text1"/>
        </w:rPr>
      </w:pPr>
      <w:r w:rsidRPr="000627B3">
        <w:rPr>
          <w:rFonts w:ascii="Arial" w:hAnsi="Arial" w:cs="Arial"/>
          <w:i/>
          <w:iCs/>
          <w:color w:val="000000" w:themeColor="text1"/>
        </w:rPr>
        <w:t>–</w:t>
      </w:r>
      <w:r w:rsidR="00EB71B6" w:rsidRPr="000627B3">
        <w:rPr>
          <w:rFonts w:ascii="Arial" w:hAnsi="Arial" w:cs="Arial"/>
          <w:i/>
          <w:iCs/>
          <w:color w:val="000000" w:themeColor="text1"/>
        </w:rPr>
        <w:t xml:space="preserve"> </w:t>
      </w:r>
      <w:r w:rsidR="006A4867" w:rsidRPr="000627B3">
        <w:rPr>
          <w:rFonts w:ascii="Arial" w:hAnsi="Arial" w:cs="Arial"/>
          <w:i/>
          <w:iCs/>
          <w:color w:val="000000" w:themeColor="text1"/>
        </w:rPr>
        <w:t>Najsilniejsza presja wzrostowa dotyczyła najlepszych centrów handlowych oraz najbardziej atrakcyjnych lokali o powierzchni 100–500 m kw. W kolejnych miesiącach możliwe są dalsze wzrosty w topowych galeriach, natomiast w parkach handlowych proces odnawiania umów z okresu pandemii może skutkować lokalnymi korektami stawek dla wybranych branż i formatów</w:t>
      </w:r>
      <w:r w:rsidR="00BB47F5" w:rsidRPr="000627B3">
        <w:rPr>
          <w:rFonts w:ascii="Arial" w:hAnsi="Arial" w:cs="Arial"/>
          <w:i/>
          <w:iCs/>
          <w:color w:val="000000" w:themeColor="text1"/>
        </w:rPr>
        <w:t xml:space="preserve"> –</w:t>
      </w:r>
      <w:r w:rsidR="00BB47F5" w:rsidRPr="000627B3">
        <w:rPr>
          <w:rFonts w:ascii="Arial" w:hAnsi="Arial" w:cs="Arial"/>
          <w:color w:val="000000" w:themeColor="text1"/>
        </w:rPr>
        <w:t xml:space="preserve"> ocenia </w:t>
      </w:r>
      <w:r w:rsidR="003E6948" w:rsidRPr="000627B3">
        <w:rPr>
          <w:rFonts w:ascii="Arial" w:hAnsi="Arial" w:cs="Arial"/>
          <w:b/>
          <w:bCs/>
          <w:color w:val="000000" w:themeColor="text1"/>
        </w:rPr>
        <w:t>Renata Weikert, Starsza Konsultantka, Dział Wynajmu Powierzchni Biurowych BNP Paribas Real Estate Poland.</w:t>
      </w:r>
    </w:p>
    <w:p w14:paraId="2EAEC1FC" w14:textId="77777777" w:rsidR="00F2553E" w:rsidRPr="00435A4E" w:rsidRDefault="00F2553E" w:rsidP="00435A4E">
      <w:pPr>
        <w:jc w:val="both"/>
        <w:rPr>
          <w:rFonts w:ascii="Arial" w:hAnsi="Arial" w:cs="Arial"/>
          <w:color w:val="000000" w:themeColor="text1"/>
        </w:rPr>
      </w:pPr>
    </w:p>
    <w:p w14:paraId="481C3D11" w14:textId="77777777" w:rsidR="007C60C8" w:rsidRPr="00435A4E" w:rsidRDefault="007C60C8" w:rsidP="00036B49">
      <w:pPr>
        <w:jc w:val="both"/>
        <w:rPr>
          <w:rFonts w:ascii="Arial" w:hAnsi="Arial" w:cs="Arial"/>
        </w:rPr>
      </w:pPr>
    </w:p>
    <w:p w14:paraId="3E13D319" w14:textId="16F21222" w:rsidR="00770F9C" w:rsidRDefault="00770F9C" w:rsidP="00036B49">
      <w:pPr>
        <w:jc w:val="both"/>
        <w:rPr>
          <w:rFonts w:ascii="Arial" w:hAnsi="Arial" w:cs="Arial"/>
          <w:noProof/>
        </w:rPr>
      </w:pPr>
    </w:p>
    <w:p w14:paraId="62ACCEEB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5FDA3D02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4AB05427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365AB528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6CB464FE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31970FB1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77E07727" w14:textId="77777777" w:rsidR="000627B3" w:rsidRDefault="000627B3" w:rsidP="00036B49">
      <w:pPr>
        <w:jc w:val="both"/>
        <w:rPr>
          <w:rFonts w:ascii="Arial" w:hAnsi="Arial" w:cs="Arial"/>
          <w:noProof/>
        </w:rPr>
      </w:pPr>
    </w:p>
    <w:p w14:paraId="3E7B738D" w14:textId="77777777" w:rsidR="0095020C" w:rsidRDefault="0095020C" w:rsidP="00036B49">
      <w:pPr>
        <w:jc w:val="both"/>
        <w:rPr>
          <w:rFonts w:ascii="Arial" w:hAnsi="Arial" w:cs="Arial"/>
          <w:noProof/>
        </w:rPr>
      </w:pPr>
    </w:p>
    <w:p w14:paraId="2E6A83C6" w14:textId="75230244" w:rsidR="0095020C" w:rsidRPr="00435A4E" w:rsidRDefault="00882884" w:rsidP="00036B49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DE58A7" wp14:editId="398BAE46">
            <wp:extent cx="5760720" cy="2199005"/>
            <wp:effectExtent l="0" t="0" r="0" b="0"/>
            <wp:docPr id="1743314655" name="Obraz 1" descr="Group 7, Obiekt zgrupowany">
              <a:extLst xmlns:a="http://schemas.openxmlformats.org/drawingml/2006/main">
                <a:ext uri="{FF2B5EF4-FFF2-40B4-BE49-F238E27FC236}">
                  <a16:creationId xmlns:a16="http://schemas.microsoft.com/office/drawing/2014/main" id="{D4CDFBD1-C2C8-4E8D-96C7-B046F73F33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7, Obiekt zgrupow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F192" w14:textId="0A964B25" w:rsidR="00176FDA" w:rsidRPr="00435A4E" w:rsidRDefault="00176FDA" w:rsidP="00036B49">
      <w:pPr>
        <w:jc w:val="both"/>
        <w:rPr>
          <w:rFonts w:ascii="Arial" w:hAnsi="Arial" w:cs="Arial"/>
        </w:rPr>
      </w:pPr>
      <w:r w:rsidRPr="00435A4E">
        <w:rPr>
          <w:rFonts w:ascii="Arial" w:hAnsi="Arial" w:cs="Arial"/>
          <w:noProof/>
        </w:rPr>
        <w:drawing>
          <wp:inline distT="0" distB="0" distL="0" distR="0" wp14:anchorId="0AF8E768" wp14:editId="1FE62BB0">
            <wp:extent cx="5760720" cy="565150"/>
            <wp:effectExtent l="0" t="0" r="0" b="6350"/>
            <wp:docPr id="239835306" name="Obraz 3" descr="Pole tekstowe">
              <a:extLst xmlns:a="http://schemas.openxmlformats.org/drawingml/2006/main">
                <a:ext uri="{FF2B5EF4-FFF2-40B4-BE49-F238E27FC236}">
                  <a16:creationId xmlns:a16="http://schemas.microsoft.com/office/drawing/2014/main" id="{C32A3580-532C-4608-AB61-1E082DAAB6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e teksto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FDA" w:rsidRPr="00435A4E" w:rsidSect="00B40516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AD37" w14:textId="77777777" w:rsidR="001A513F" w:rsidRDefault="001A513F" w:rsidP="006B472C">
      <w:pPr>
        <w:spacing w:after="0" w:line="240" w:lineRule="auto"/>
      </w:pPr>
      <w:r>
        <w:separator/>
      </w:r>
    </w:p>
  </w:endnote>
  <w:endnote w:type="continuationSeparator" w:id="0">
    <w:p w14:paraId="1C75ECEB" w14:textId="77777777" w:rsidR="001A513F" w:rsidRDefault="001A513F" w:rsidP="006B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0C84" w14:textId="48DE1B4B" w:rsidR="000E437B" w:rsidRDefault="000E43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C9F766" wp14:editId="0D51CBF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18285" cy="357505"/>
              <wp:effectExtent l="0" t="0" r="0" b="0"/>
              <wp:wrapNone/>
              <wp:docPr id="1657550101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E48DE" w14:textId="549E56E5" w:rsidR="000E437B" w:rsidRPr="000E437B" w:rsidRDefault="000E437B" w:rsidP="000E43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E437B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9F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 : Internal" style="position:absolute;margin-left:68.35pt;margin-top:0;width:119.5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YcEAIAABsEAAAOAAAAZHJzL2Uyb0RvYy54bWysU8Fu2zAMvQ/YPwi6L3ayecuMOEXWIsOA&#10;oC2QDj0rshQbkERBUmJnXz9KdpKt66nYRaZI+pF8fFrc9FqRo3C+BVPR6SSnRBgOdWv2Ff35tP4w&#10;p8QHZmqmwIiKnoSnN8v37xadLcUMGlC1cARBjC87W9EmBFtmmeeN0MxPwAqDQQlOs4BXt89qxzpE&#10;1yqb5fnnrANXWwdceI/euyFIlwlfSsHDg5ReBKIqir2FdLp07uKZLRes3Dtmm5aPbbA3dKFZa7Do&#10;BeqOBUYOrv0HSrfcgQcZJhx0BlK2XKQZcJpp/mKabcOsSLMgOd5eaPL/D5bfH7f20ZHQf4MeFxgJ&#10;6awvPTrjPL10On6xU4JxpPB0oU30gfD4UzGdz+YFJRxjH4svRV5EmOz6t3U+fBegSTQq6nAtiS12&#10;3PgwpJ5TYjED61aptBpl/nIgZvRk1xajFfpdP/a9g/qE4zgYNu0tX7dYc8N8eGQOV4sToFzDAx5S&#10;QVdRGC1KGnC/XvPHfGQco5R0KJWKGtQyJeqHwU1EVZ0Nl4xZ8SnP0b1Lt+nXvIg3c9C3gCqc4oOw&#10;PJnodUGdTelAP6OaV7EahpjhWLOiu7N5Gwbh4mvgYrVKSagiy8LGbC2P0JGsyORT/8ycHekOuKh7&#10;OIuJlS9YH3Ljn96uDgG5TyuJxA5sjnyjAtNSx9cSJf7nPWVd3/TyNwAAAP//AwBQSwMEFAAGAAgA&#10;AAAhAC3PKY/dAAAABAEAAA8AAABkcnMvZG93bnJldi54bWxMj19LwzAUxd8Fv0O4A1/Epftj0Np0&#10;6MAHYQycoq9pc9eWJTclybru2xv3oi8XDudwzu8Wq9EaNqAPnSMJs2kGDKl2uqNGwufH690DsBAV&#10;aWUcoYQzBliV11eFyrU70TsOu9iwVEIhVxLaGPuc81C3aFWYuh4peXvnrYpJ+oZrr06p3Bo+zzLB&#10;reooLbSqx3WL9WF3tBJebsNXtTn489t26cT3sBam3wopbybj8xOwiGP8C8MvfkKHMjFV7kg6MCMh&#10;PRIvN3nzxeMMWCXhXiyAlwX/D1/+AAAA//8DAFBLAQItABQABgAIAAAAIQC2gziS/gAAAOEBAAAT&#10;AAAAAAAAAAAAAAAAAAAAAABbQ29udGVudF9UeXBlc10ueG1sUEsBAi0AFAAGAAgAAAAhADj9If/W&#10;AAAAlAEAAAsAAAAAAAAAAAAAAAAALwEAAF9yZWxzLy5yZWxzUEsBAi0AFAAGAAgAAAAhAFy4xhwQ&#10;AgAAGwQAAA4AAAAAAAAAAAAAAAAALgIAAGRycy9lMm9Eb2MueG1sUEsBAi0AFAAGAAgAAAAhAC3P&#10;KY/dAAAABAEAAA8AAAAAAAAAAAAAAAAAagQAAGRycy9kb3ducmV2LnhtbFBLBQYAAAAABAAEAPMA&#10;AAB0BQAAAAA=&#10;" filled="f" stroked="f">
              <v:textbox style="mso-fit-shape-to-text:t" inset="0,0,20pt,15pt">
                <w:txbxContent>
                  <w:p w14:paraId="72DE48DE" w14:textId="549E56E5" w:rsidR="000E437B" w:rsidRPr="000E437B" w:rsidRDefault="000E437B" w:rsidP="000E43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E437B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2B31" w14:textId="49BC57FA" w:rsidR="00DE4EFA" w:rsidRPr="00DE4EFA" w:rsidRDefault="000E437B">
    <w:pPr>
      <w:pStyle w:val="Footer"/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</w:pPr>
    <w:r>
      <w:rPr>
        <w:rFonts w:ascii="Segoe UI" w:hAnsi="Segoe UI" w:cs="Segoe UI"/>
        <w:noProof/>
        <w:color w:val="000000"/>
        <w:sz w:val="12"/>
        <w:szCs w:val="1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87F254" wp14:editId="715B0FDA">
              <wp:simplePos x="901700" y="9690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18285" cy="357505"/>
              <wp:effectExtent l="0" t="0" r="0" b="0"/>
              <wp:wrapNone/>
              <wp:docPr id="1205761030" name="Text Box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BFF3" w14:textId="57A79296" w:rsidR="000E437B" w:rsidRPr="000E437B" w:rsidRDefault="000E437B" w:rsidP="000E43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E437B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7F2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 : Internal" style="position:absolute;margin-left:68.35pt;margin-top:0;width:119.5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QtEgIAACIEAAAOAAAAZHJzL2Uyb0RvYy54bWysU01v2zAMvQ/YfxB0X+xk85YZcYqsRYYB&#10;QVsgHXpWZCk2IImCpMTOfv0oOU7abqdhF5kiaX6897S46bUiR+F8C6ai00lOiTAc6tbsK/rzaf1h&#10;TokPzNRMgREVPQlPb5bv3y06W4oZNKBq4QgWMb7sbEWbEGyZZZ43QjM/ASsMBiU4zQJe3T6rHeuw&#10;ulbZLM8/Zx242jrgwnv03g1Bukz1pRQ8PEjpRSCqojhbSKdL5y6e2XLByr1jtmn5eQz2D1No1hps&#10;eil1xwIjB9f+UUq33IEHGSYcdAZStlykHXCbaf5mm23DrEi7IDjeXmDy/68svz9u7aMjof8GPRIY&#10;AemsLz064z69dDp+cVKCcYTwdIFN9IHw+FMxnc/mBSUcYx+LL0VexDLZ9W/rfPguQJNoVNQhLQkt&#10;dtz4MKSOKbGZgXWrVKJGmVcOrBk92XXEaIV+15O2fjH+DuoTbuVgINxbvm6x9Yb58MgcMoyLoGrD&#10;Ax5SQVdROFuUNOB+/c0f8xF4jFLSoWIqalDSlKgfBgmJ4hoNl4xZ8SnP0b1Lt+nXvIg3c9C3gGKc&#10;4ruwPJnodUGNpnSgn1HUq9gNQ8xw7FnR3WjehkG/+Ci4WK1SEorJsrAxW8tj6YhZBPSpf2bOnlEP&#10;yNc9jJpi5Rvwh9z4p7erQ0AKEjMR3wHNM+woxMTt+dFEpb+8p6zr017+BgAA//8DAFBLAwQUAAYA&#10;CAAAACEALc8pj90AAAAEAQAADwAAAGRycy9kb3ducmV2LnhtbEyPX0vDMBTF3wW/Q7gDX8Sl+2PQ&#10;2nTowAdhDJyir2lz15YlNyXJuu7bG/eiLxcO53DO7xar0Ro2oA+dIwmzaQYMqXa6o0bC58fr3QOw&#10;EBVpZRyhhDMGWJXXV4XKtTvROw672LBUQiFXEtoY+5zzULdoVZi6Hil5e+etikn6hmuvTqncGj7P&#10;MsGt6igttKrHdYv1YXe0El5uw1e1Ofjz23bpxPewFqbfCilvJuPzE7CIY/wLwy9+QocyMVXuSDow&#10;IyE9Ei83efPF4wxYJeFeLICXBf8PX/4AAAD//wMAUEsBAi0AFAAGAAgAAAAhALaDOJL+AAAA4QEA&#10;ABMAAAAAAAAAAAAAAAAAAAAAAFtDb250ZW50X1R5cGVzXS54bWxQSwECLQAUAAYACAAAACEAOP0h&#10;/9YAAACUAQAACwAAAAAAAAAAAAAAAAAvAQAAX3JlbHMvLnJlbHNQSwECLQAUAAYACAAAACEAMO2U&#10;LRICAAAiBAAADgAAAAAAAAAAAAAAAAAuAgAAZHJzL2Uyb0RvYy54bWxQSwECLQAUAAYACAAAACEA&#10;Lc8pj90AAAAEAQAADwAAAAAAAAAAAAAAAABsBAAAZHJzL2Rvd25yZXYueG1sUEsFBgAAAAAEAAQA&#10;8wAAAHYFAAAAAA==&#10;" filled="f" stroked="f">
              <v:textbox style="mso-fit-shape-to-text:t" inset="0,0,20pt,15pt">
                <w:txbxContent>
                  <w:p w14:paraId="13C3BFF3" w14:textId="57A79296" w:rsidR="000E437B" w:rsidRPr="000E437B" w:rsidRDefault="000E437B" w:rsidP="000E43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E437B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</w:rPr>
      <w:t xml:space="preserve"> </w: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inline distT="0" distB="0" distL="0" distR="0" wp14:anchorId="2BA25DB4" wp14:editId="319C113B">
          <wp:extent cx="2636520" cy="502920"/>
          <wp:effectExtent l="0" t="0" r="0" b="0"/>
          <wp:docPr id="866661979" name="Obraz 8" descr="Obraz zawierający Czcionka, tekst, Grafika, symbol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02C88079-3311-4700-836E-F81516D48F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61979" name="Obraz 8" descr="Obraz zawierający Czcionka, tekst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t xml:space="preserve">                                                                                              </w: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6B966339" wp14:editId="0D27E26E">
          <wp:extent cx="1127760" cy="541020"/>
          <wp:effectExtent l="0" t="0" r="0" b="0"/>
          <wp:docPr id="1796209254" name="Obraz 9" descr="Obraz zawierający tekst, narzędzie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0B2FD1A-76DC-46FE-B470-B44818507A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09254" name="Obraz 9" descr="Obraz zawierający tekst, narzędzie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44" b="20176"/>
                  <a:stretch/>
                </pic:blipFill>
                <pic:spPr bwMode="auto">
                  <a:xfrm>
                    <a:off x="0" y="0"/>
                    <a:ext cx="11277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798765" w14:textId="44CDF678" w:rsidR="006B472C" w:rsidRPr="006B472C" w:rsidRDefault="006B472C" w:rsidP="006B4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91C0" w14:textId="5EE842E9" w:rsidR="000E437B" w:rsidRDefault="000E43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5BCD66" wp14:editId="759E4FE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18285" cy="357505"/>
              <wp:effectExtent l="0" t="0" r="0" b="0"/>
              <wp:wrapNone/>
              <wp:docPr id="369667021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2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F2C60" w14:textId="6866205C" w:rsidR="000E437B" w:rsidRPr="000E437B" w:rsidRDefault="000E437B" w:rsidP="000E437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E437B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BCD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 : Internal" style="position:absolute;margin-left:68.35pt;margin-top:0;width:119.5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dvFAIAACIEAAAOAAAAZHJzL2Uyb0RvYy54bWysU01v2zAMvQ/YfxB0X+xk85YZcYqsRYYB&#10;QVsgHXpWZCk2IImCpMTOfv0oOU62rqdiF5kiaX6897S46bUiR+F8C6ai00lOiTAc6tbsK/rzaf1h&#10;TokPzNRMgREVPQlPb5bv3y06W4oZNKBq4QgWMb7sbEWbEGyZZZ43QjM/ASsMBiU4zQJe3T6rHeuw&#10;ulbZLM8/Zx242jrgwnv03g1Bukz1pRQ8PEjpRSCqojhbSKdL5y6e2XLByr1jtmn5eQz2hik0aw02&#10;vZS6Y4GRg2v/KaVb7sCDDBMOOgMpWy7SDrjNNH+xzbZhVqRdEBxvLzD5/1eW3x+39tGR0H+DHgmM&#10;gHTWlx6dcZ9eOh2/OCnBOEJ4usAm+kB4/KmYzmfzghKOsY/FlyIvYpns+rd1PnwXoEk0KuqQloQW&#10;O258GFLHlNjMwLpVKlGjzF8OrBk92XXEaIV+15O2ruhsHH8H9Qm3cjAQ7i1ft9h6w3x4ZA4ZxkVQ&#10;teEBD6mgqyicLUoacL9e88d8BB6jlHSomIoalDQl6odBQqK4RsMlY1Z8ynN079Jt+jUv4s0c9C2g&#10;GKf4LixPJnpdUKMpHehnFPUqdsMQMxx7VnQ3mrdh0C8+Ci5Wq5SEYrIsbMzW8lg6YhYBfeqfmbNn&#10;1APydQ+jplj5AvwhN/7p7eoQkILETMR3QPMMOwoxcXt+NFHpf95T1vVpL38DAAD//wMAUEsDBBQA&#10;BgAIAAAAIQAtzymP3QAAAAQBAAAPAAAAZHJzL2Rvd25yZXYueG1sTI9fS8MwFMXfBb9DuANfxKX7&#10;Y9DadOjAB2EMnKKvaXPXliU3Jcm67tsb96IvFw7ncM7vFqvRGjagD50jCbNpBgypdrqjRsLnx+vd&#10;A7AQFWllHKGEMwZYlddXhcq1O9E7DrvYsFRCIVcS2hj7nPNQt2hVmLoeKXl7562KSfqGa69Oqdwa&#10;Ps8ywa3qKC20qsd1i/Vhd7QSXm7DV7U5+PPbdunE97AWpt8KKW8m4/MTsIhj/AvDL35ChzIxVe5I&#10;OjAjIT0SLzd588XjDFgl4V4sgJcF/w9f/gAAAP//AwBQSwECLQAUAAYACAAAACEAtoM4kv4AAADh&#10;AQAAEwAAAAAAAAAAAAAAAAAAAAAAW0NvbnRlbnRfVHlwZXNdLnhtbFBLAQItABQABgAIAAAAIQA4&#10;/SH/1gAAAJQBAAALAAAAAAAAAAAAAAAAAC8BAABfcmVscy8ucmVsc1BLAQItABQABgAIAAAAIQBh&#10;e2dvFAIAACIEAAAOAAAAAAAAAAAAAAAAAC4CAABkcnMvZTJvRG9jLnhtbFBLAQItABQABgAIAAAA&#10;IQAtzymP3QAAAAQBAAAPAAAAAAAAAAAAAAAAAG4EAABkcnMvZG93bnJldi54bWxQSwUGAAAAAAQA&#10;BADzAAAAeAUAAAAA&#10;" filled="f" stroked="f">
              <v:textbox style="mso-fit-shape-to-text:t" inset="0,0,20pt,15pt">
                <w:txbxContent>
                  <w:p w14:paraId="304F2C60" w14:textId="6866205C" w:rsidR="000E437B" w:rsidRPr="000E437B" w:rsidRDefault="000E437B" w:rsidP="000E437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E437B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00A0" w14:textId="77777777" w:rsidR="001A513F" w:rsidRDefault="001A513F" w:rsidP="006B472C">
      <w:pPr>
        <w:spacing w:after="0" w:line="240" w:lineRule="auto"/>
      </w:pPr>
      <w:r>
        <w:separator/>
      </w:r>
    </w:p>
  </w:footnote>
  <w:footnote w:type="continuationSeparator" w:id="0">
    <w:p w14:paraId="30526BBD" w14:textId="77777777" w:rsidR="001A513F" w:rsidRDefault="001A513F" w:rsidP="006B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7206" w14:textId="030A3D20" w:rsidR="006B472C" w:rsidRDefault="006B472C">
    <w:pPr>
      <w:pStyle w:val="Header"/>
    </w:pPr>
  </w:p>
  <w:p w14:paraId="344F47CC" w14:textId="77777777" w:rsidR="006B472C" w:rsidRDefault="006B4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5206"/>
    <w:multiLevelType w:val="hybridMultilevel"/>
    <w:tmpl w:val="05CCA3D4"/>
    <w:lvl w:ilvl="0" w:tplc="7C204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E1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27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46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4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68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2D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80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2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25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48"/>
    <w:rsid w:val="00002BA8"/>
    <w:rsid w:val="00024B0A"/>
    <w:rsid w:val="00027A18"/>
    <w:rsid w:val="00034690"/>
    <w:rsid w:val="00036B49"/>
    <w:rsid w:val="000375F3"/>
    <w:rsid w:val="00037833"/>
    <w:rsid w:val="000440C4"/>
    <w:rsid w:val="00046775"/>
    <w:rsid w:val="00054E23"/>
    <w:rsid w:val="00056B21"/>
    <w:rsid w:val="000627B3"/>
    <w:rsid w:val="000650AE"/>
    <w:rsid w:val="00066C80"/>
    <w:rsid w:val="000710D3"/>
    <w:rsid w:val="00073CF0"/>
    <w:rsid w:val="0009728C"/>
    <w:rsid w:val="000B5184"/>
    <w:rsid w:val="000B5B91"/>
    <w:rsid w:val="000C063F"/>
    <w:rsid w:val="000C0774"/>
    <w:rsid w:val="000C5E22"/>
    <w:rsid w:val="000E0DE3"/>
    <w:rsid w:val="000E437B"/>
    <w:rsid w:val="000F130F"/>
    <w:rsid w:val="000F3460"/>
    <w:rsid w:val="001078DA"/>
    <w:rsid w:val="00110A78"/>
    <w:rsid w:val="0012266A"/>
    <w:rsid w:val="0012555B"/>
    <w:rsid w:val="0013530B"/>
    <w:rsid w:val="0013660F"/>
    <w:rsid w:val="001405C8"/>
    <w:rsid w:val="0014228E"/>
    <w:rsid w:val="00146DC3"/>
    <w:rsid w:val="00160997"/>
    <w:rsid w:val="001638CA"/>
    <w:rsid w:val="001653AE"/>
    <w:rsid w:val="0016648A"/>
    <w:rsid w:val="00176FDA"/>
    <w:rsid w:val="001847B0"/>
    <w:rsid w:val="001A320B"/>
    <w:rsid w:val="001A513F"/>
    <w:rsid w:val="001A5F3C"/>
    <w:rsid w:val="001A6386"/>
    <w:rsid w:val="001C3C35"/>
    <w:rsid w:val="001C5456"/>
    <w:rsid w:val="001F5989"/>
    <w:rsid w:val="00202787"/>
    <w:rsid w:val="00215DBA"/>
    <w:rsid w:val="00217724"/>
    <w:rsid w:val="0022378B"/>
    <w:rsid w:val="00250CFA"/>
    <w:rsid w:val="002552A8"/>
    <w:rsid w:val="00261443"/>
    <w:rsid w:val="00261921"/>
    <w:rsid w:val="002707F3"/>
    <w:rsid w:val="00281F99"/>
    <w:rsid w:val="00282EC1"/>
    <w:rsid w:val="0028592F"/>
    <w:rsid w:val="002859E5"/>
    <w:rsid w:val="00286C46"/>
    <w:rsid w:val="002905B9"/>
    <w:rsid w:val="00292BA6"/>
    <w:rsid w:val="0029577A"/>
    <w:rsid w:val="002A5237"/>
    <w:rsid w:val="002A5BD1"/>
    <w:rsid w:val="002A62A9"/>
    <w:rsid w:val="002B3256"/>
    <w:rsid w:val="002B4B82"/>
    <w:rsid w:val="002B4C4C"/>
    <w:rsid w:val="002B52E0"/>
    <w:rsid w:val="002C076D"/>
    <w:rsid w:val="002C167D"/>
    <w:rsid w:val="002E3324"/>
    <w:rsid w:val="002E49EB"/>
    <w:rsid w:val="00306625"/>
    <w:rsid w:val="00310DD5"/>
    <w:rsid w:val="003166D4"/>
    <w:rsid w:val="003204C4"/>
    <w:rsid w:val="00354132"/>
    <w:rsid w:val="00365630"/>
    <w:rsid w:val="00366551"/>
    <w:rsid w:val="00366926"/>
    <w:rsid w:val="00373465"/>
    <w:rsid w:val="0037503E"/>
    <w:rsid w:val="00376D32"/>
    <w:rsid w:val="00380197"/>
    <w:rsid w:val="00382AC0"/>
    <w:rsid w:val="00387D36"/>
    <w:rsid w:val="0039156D"/>
    <w:rsid w:val="003918F0"/>
    <w:rsid w:val="00392A9F"/>
    <w:rsid w:val="00394AB4"/>
    <w:rsid w:val="003A2F91"/>
    <w:rsid w:val="003B130B"/>
    <w:rsid w:val="003B1C02"/>
    <w:rsid w:val="003C0D94"/>
    <w:rsid w:val="003C17F3"/>
    <w:rsid w:val="003D0DF3"/>
    <w:rsid w:val="003D2EDE"/>
    <w:rsid w:val="003D31C0"/>
    <w:rsid w:val="003E16D7"/>
    <w:rsid w:val="003E6948"/>
    <w:rsid w:val="003E70AB"/>
    <w:rsid w:val="00400C45"/>
    <w:rsid w:val="004126AE"/>
    <w:rsid w:val="00414CE9"/>
    <w:rsid w:val="00426C42"/>
    <w:rsid w:val="00435A4E"/>
    <w:rsid w:val="0046069C"/>
    <w:rsid w:val="00461A96"/>
    <w:rsid w:val="004678A7"/>
    <w:rsid w:val="00467F3D"/>
    <w:rsid w:val="0047173E"/>
    <w:rsid w:val="0047463F"/>
    <w:rsid w:val="00481DFB"/>
    <w:rsid w:val="0048444D"/>
    <w:rsid w:val="00497390"/>
    <w:rsid w:val="004A5637"/>
    <w:rsid w:val="004B1A1A"/>
    <w:rsid w:val="004B3D5A"/>
    <w:rsid w:val="004E47AF"/>
    <w:rsid w:val="004E7576"/>
    <w:rsid w:val="004F67D5"/>
    <w:rsid w:val="004F753B"/>
    <w:rsid w:val="005015EE"/>
    <w:rsid w:val="00505EF9"/>
    <w:rsid w:val="00511A86"/>
    <w:rsid w:val="00516BCA"/>
    <w:rsid w:val="00530FCC"/>
    <w:rsid w:val="00545F58"/>
    <w:rsid w:val="0056582A"/>
    <w:rsid w:val="00566A94"/>
    <w:rsid w:val="005758DD"/>
    <w:rsid w:val="0058538A"/>
    <w:rsid w:val="005B680C"/>
    <w:rsid w:val="005D6BB2"/>
    <w:rsid w:val="005F6026"/>
    <w:rsid w:val="006036F0"/>
    <w:rsid w:val="00620AAF"/>
    <w:rsid w:val="006329C6"/>
    <w:rsid w:val="00632F5B"/>
    <w:rsid w:val="00634DA9"/>
    <w:rsid w:val="00637285"/>
    <w:rsid w:val="00640318"/>
    <w:rsid w:val="0065582A"/>
    <w:rsid w:val="00660E95"/>
    <w:rsid w:val="006710D0"/>
    <w:rsid w:val="006747CE"/>
    <w:rsid w:val="006862E9"/>
    <w:rsid w:val="0069406A"/>
    <w:rsid w:val="006A4867"/>
    <w:rsid w:val="006A4E99"/>
    <w:rsid w:val="006B472C"/>
    <w:rsid w:val="006C2852"/>
    <w:rsid w:val="006C4560"/>
    <w:rsid w:val="006D05BD"/>
    <w:rsid w:val="006D0E24"/>
    <w:rsid w:val="006D1191"/>
    <w:rsid w:val="006D2010"/>
    <w:rsid w:val="006D4380"/>
    <w:rsid w:val="006D5D75"/>
    <w:rsid w:val="006D6B1B"/>
    <w:rsid w:val="006D6FDA"/>
    <w:rsid w:val="006F663E"/>
    <w:rsid w:val="00701CC4"/>
    <w:rsid w:val="00706BB9"/>
    <w:rsid w:val="0071059F"/>
    <w:rsid w:val="00724304"/>
    <w:rsid w:val="007262D6"/>
    <w:rsid w:val="00734329"/>
    <w:rsid w:val="00735447"/>
    <w:rsid w:val="00741A0F"/>
    <w:rsid w:val="007441D0"/>
    <w:rsid w:val="007546CF"/>
    <w:rsid w:val="00766A29"/>
    <w:rsid w:val="00766A2E"/>
    <w:rsid w:val="00770F9C"/>
    <w:rsid w:val="00780C3D"/>
    <w:rsid w:val="00787D55"/>
    <w:rsid w:val="0079440A"/>
    <w:rsid w:val="007A02D0"/>
    <w:rsid w:val="007A1797"/>
    <w:rsid w:val="007A73C4"/>
    <w:rsid w:val="007B1789"/>
    <w:rsid w:val="007C06E2"/>
    <w:rsid w:val="007C2B86"/>
    <w:rsid w:val="007C60C8"/>
    <w:rsid w:val="007D0058"/>
    <w:rsid w:val="007D5283"/>
    <w:rsid w:val="007F78D0"/>
    <w:rsid w:val="008036DD"/>
    <w:rsid w:val="0080623C"/>
    <w:rsid w:val="00806FF8"/>
    <w:rsid w:val="00807B41"/>
    <w:rsid w:val="00811999"/>
    <w:rsid w:val="0081664D"/>
    <w:rsid w:val="0082556C"/>
    <w:rsid w:val="00836C9B"/>
    <w:rsid w:val="0084213E"/>
    <w:rsid w:val="00844C82"/>
    <w:rsid w:val="00854C76"/>
    <w:rsid w:val="00867DD8"/>
    <w:rsid w:val="008754F3"/>
    <w:rsid w:val="00882884"/>
    <w:rsid w:val="00885599"/>
    <w:rsid w:val="0089296B"/>
    <w:rsid w:val="00893D15"/>
    <w:rsid w:val="008B5819"/>
    <w:rsid w:val="008B6B3C"/>
    <w:rsid w:val="008D4DAD"/>
    <w:rsid w:val="008D5495"/>
    <w:rsid w:val="00933184"/>
    <w:rsid w:val="009360FD"/>
    <w:rsid w:val="00946D43"/>
    <w:rsid w:val="009477E2"/>
    <w:rsid w:val="0095020C"/>
    <w:rsid w:val="00971278"/>
    <w:rsid w:val="00972629"/>
    <w:rsid w:val="0097789A"/>
    <w:rsid w:val="00990A4D"/>
    <w:rsid w:val="00990D79"/>
    <w:rsid w:val="009A6DFA"/>
    <w:rsid w:val="009B024F"/>
    <w:rsid w:val="009B326B"/>
    <w:rsid w:val="009C59B3"/>
    <w:rsid w:val="009D2114"/>
    <w:rsid w:val="009D6D4F"/>
    <w:rsid w:val="009E0E2A"/>
    <w:rsid w:val="009E29D2"/>
    <w:rsid w:val="009E40FA"/>
    <w:rsid w:val="009F419A"/>
    <w:rsid w:val="00A05E3A"/>
    <w:rsid w:val="00A12E8B"/>
    <w:rsid w:val="00A13669"/>
    <w:rsid w:val="00A22154"/>
    <w:rsid w:val="00A274C1"/>
    <w:rsid w:val="00A515A2"/>
    <w:rsid w:val="00A51FBD"/>
    <w:rsid w:val="00A53387"/>
    <w:rsid w:val="00A540D2"/>
    <w:rsid w:val="00A6101B"/>
    <w:rsid w:val="00A636F6"/>
    <w:rsid w:val="00A85833"/>
    <w:rsid w:val="00A874B1"/>
    <w:rsid w:val="00AA4486"/>
    <w:rsid w:val="00AA59D5"/>
    <w:rsid w:val="00AB153C"/>
    <w:rsid w:val="00AB320B"/>
    <w:rsid w:val="00AD2EA0"/>
    <w:rsid w:val="00AF0EC6"/>
    <w:rsid w:val="00B12222"/>
    <w:rsid w:val="00B35151"/>
    <w:rsid w:val="00B3603D"/>
    <w:rsid w:val="00B40516"/>
    <w:rsid w:val="00B421A4"/>
    <w:rsid w:val="00B50F14"/>
    <w:rsid w:val="00B71150"/>
    <w:rsid w:val="00B73138"/>
    <w:rsid w:val="00B74744"/>
    <w:rsid w:val="00B86849"/>
    <w:rsid w:val="00B906A2"/>
    <w:rsid w:val="00B9205D"/>
    <w:rsid w:val="00B94969"/>
    <w:rsid w:val="00B950E4"/>
    <w:rsid w:val="00BA387D"/>
    <w:rsid w:val="00BA52B4"/>
    <w:rsid w:val="00BB3078"/>
    <w:rsid w:val="00BB47F5"/>
    <w:rsid w:val="00BB6DE5"/>
    <w:rsid w:val="00BC0377"/>
    <w:rsid w:val="00BC2C04"/>
    <w:rsid w:val="00BC4F56"/>
    <w:rsid w:val="00BD3CDE"/>
    <w:rsid w:val="00BD66E6"/>
    <w:rsid w:val="00BF076F"/>
    <w:rsid w:val="00BF2613"/>
    <w:rsid w:val="00BF2F8E"/>
    <w:rsid w:val="00C147D0"/>
    <w:rsid w:val="00C14924"/>
    <w:rsid w:val="00C150DA"/>
    <w:rsid w:val="00C17F5B"/>
    <w:rsid w:val="00C21049"/>
    <w:rsid w:val="00C261E2"/>
    <w:rsid w:val="00C31C0F"/>
    <w:rsid w:val="00C34947"/>
    <w:rsid w:val="00C35165"/>
    <w:rsid w:val="00C419A5"/>
    <w:rsid w:val="00C4298F"/>
    <w:rsid w:val="00C52006"/>
    <w:rsid w:val="00C55A1A"/>
    <w:rsid w:val="00C57111"/>
    <w:rsid w:val="00C61748"/>
    <w:rsid w:val="00C822F2"/>
    <w:rsid w:val="00C8498D"/>
    <w:rsid w:val="00C916A8"/>
    <w:rsid w:val="00C95DE7"/>
    <w:rsid w:val="00CA2960"/>
    <w:rsid w:val="00CB07E0"/>
    <w:rsid w:val="00CB16AE"/>
    <w:rsid w:val="00CB6184"/>
    <w:rsid w:val="00CD16FB"/>
    <w:rsid w:val="00CD7565"/>
    <w:rsid w:val="00CE058E"/>
    <w:rsid w:val="00CE0782"/>
    <w:rsid w:val="00CE2D0C"/>
    <w:rsid w:val="00CF61B3"/>
    <w:rsid w:val="00D1029D"/>
    <w:rsid w:val="00D137E1"/>
    <w:rsid w:val="00D20B0E"/>
    <w:rsid w:val="00D21869"/>
    <w:rsid w:val="00D25A17"/>
    <w:rsid w:val="00D31C3D"/>
    <w:rsid w:val="00D51512"/>
    <w:rsid w:val="00D5456B"/>
    <w:rsid w:val="00D56FE6"/>
    <w:rsid w:val="00D70B8E"/>
    <w:rsid w:val="00D762E8"/>
    <w:rsid w:val="00D76F49"/>
    <w:rsid w:val="00D8291D"/>
    <w:rsid w:val="00D93D0A"/>
    <w:rsid w:val="00D95D2E"/>
    <w:rsid w:val="00DA2148"/>
    <w:rsid w:val="00DB3692"/>
    <w:rsid w:val="00DC14ED"/>
    <w:rsid w:val="00DC1F5F"/>
    <w:rsid w:val="00DC1FD9"/>
    <w:rsid w:val="00DE3A2A"/>
    <w:rsid w:val="00DE4EFA"/>
    <w:rsid w:val="00DF03E7"/>
    <w:rsid w:val="00DF145A"/>
    <w:rsid w:val="00DF5EF4"/>
    <w:rsid w:val="00E04CDC"/>
    <w:rsid w:val="00E07835"/>
    <w:rsid w:val="00E10F35"/>
    <w:rsid w:val="00E13E6F"/>
    <w:rsid w:val="00E14464"/>
    <w:rsid w:val="00E35E46"/>
    <w:rsid w:val="00E51661"/>
    <w:rsid w:val="00E65667"/>
    <w:rsid w:val="00E71F91"/>
    <w:rsid w:val="00E77533"/>
    <w:rsid w:val="00E85C5D"/>
    <w:rsid w:val="00EB0DB3"/>
    <w:rsid w:val="00EB71B6"/>
    <w:rsid w:val="00EC77AC"/>
    <w:rsid w:val="00EC7F84"/>
    <w:rsid w:val="00ED30F5"/>
    <w:rsid w:val="00EE3130"/>
    <w:rsid w:val="00EF0789"/>
    <w:rsid w:val="00EF1076"/>
    <w:rsid w:val="00EF1384"/>
    <w:rsid w:val="00EF15FB"/>
    <w:rsid w:val="00F13F5F"/>
    <w:rsid w:val="00F216B1"/>
    <w:rsid w:val="00F2553E"/>
    <w:rsid w:val="00F25DA1"/>
    <w:rsid w:val="00F30988"/>
    <w:rsid w:val="00F35D29"/>
    <w:rsid w:val="00F62EE1"/>
    <w:rsid w:val="00F667D9"/>
    <w:rsid w:val="00F66B02"/>
    <w:rsid w:val="00F679C6"/>
    <w:rsid w:val="00F8648B"/>
    <w:rsid w:val="00FA5BEB"/>
    <w:rsid w:val="00FB1C54"/>
    <w:rsid w:val="00FC22D5"/>
    <w:rsid w:val="00FD3097"/>
    <w:rsid w:val="00FE687F"/>
    <w:rsid w:val="06C79456"/>
    <w:rsid w:val="079626BC"/>
    <w:rsid w:val="0C1AE037"/>
    <w:rsid w:val="1073DC19"/>
    <w:rsid w:val="15604A5E"/>
    <w:rsid w:val="1635AAB2"/>
    <w:rsid w:val="1C8B2B7B"/>
    <w:rsid w:val="22E4EEA8"/>
    <w:rsid w:val="265A0F05"/>
    <w:rsid w:val="26A5C7E9"/>
    <w:rsid w:val="30CD4B58"/>
    <w:rsid w:val="328113D4"/>
    <w:rsid w:val="349A995F"/>
    <w:rsid w:val="35803D5E"/>
    <w:rsid w:val="3BA3325A"/>
    <w:rsid w:val="41B3BAFE"/>
    <w:rsid w:val="41BAEC74"/>
    <w:rsid w:val="45643441"/>
    <w:rsid w:val="4690B51D"/>
    <w:rsid w:val="49E4D01F"/>
    <w:rsid w:val="4EEC7E6B"/>
    <w:rsid w:val="5C7009E9"/>
    <w:rsid w:val="5FB5B616"/>
    <w:rsid w:val="619DEC0E"/>
    <w:rsid w:val="6781FE15"/>
    <w:rsid w:val="6FFF729C"/>
    <w:rsid w:val="73D0D207"/>
    <w:rsid w:val="73D8C408"/>
    <w:rsid w:val="77389FF7"/>
    <w:rsid w:val="7B5677EB"/>
    <w:rsid w:val="7D756163"/>
    <w:rsid w:val="7E8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EBF"/>
  <w15:chartTrackingRefBased/>
  <w15:docId w15:val="{F0C8C5D7-E308-4A54-BCEE-76E08DE5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F61B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76F49"/>
  </w:style>
  <w:style w:type="character" w:customStyle="1" w:styleId="eop">
    <w:name w:val="eop"/>
    <w:basedOn w:val="DefaultParagraphFont"/>
    <w:rsid w:val="00D76F49"/>
  </w:style>
  <w:style w:type="paragraph" w:styleId="Header">
    <w:name w:val="header"/>
    <w:basedOn w:val="Normal"/>
    <w:link w:val="HeaderChar"/>
    <w:uiPriority w:val="99"/>
    <w:unhideWhenUsed/>
    <w:rsid w:val="006B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2C"/>
  </w:style>
  <w:style w:type="paragraph" w:styleId="Footer">
    <w:name w:val="footer"/>
    <w:basedOn w:val="Normal"/>
    <w:link w:val="FooterChar"/>
    <w:uiPriority w:val="99"/>
    <w:unhideWhenUsed/>
    <w:rsid w:val="006B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2C"/>
  </w:style>
  <w:style w:type="character" w:customStyle="1" w:styleId="wacimagecontainer">
    <w:name w:val="wacimagecontainer"/>
    <w:basedOn w:val="DefaultParagraphFont"/>
    <w:rsid w:val="006B472C"/>
  </w:style>
  <w:style w:type="character" w:styleId="CommentReference">
    <w:name w:val="annotation reference"/>
    <w:basedOn w:val="DefaultParagraphFont"/>
    <w:uiPriority w:val="99"/>
    <w:semiHidden/>
    <w:unhideWhenUsed/>
    <w:rsid w:val="006D0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E24"/>
    <w:rPr>
      <w:b/>
      <w:bCs/>
      <w:sz w:val="20"/>
      <w:szCs w:val="20"/>
    </w:rPr>
  </w:style>
  <w:style w:type="paragraph" w:customStyle="1" w:styleId="paragraph">
    <w:name w:val="paragraph"/>
    <w:basedOn w:val="Normal"/>
    <w:rsid w:val="00A5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7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27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ec29fecd7283749ed6b0cd85b87eb508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4eaa2aec0c1b9958b901aaa38d278451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8761A-EC95-406D-B48B-D2BEA6075893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2.xml><?xml version="1.0" encoding="utf-8"?>
<ds:datastoreItem xmlns:ds="http://schemas.openxmlformats.org/officeDocument/2006/customXml" ds:itemID="{C9C803BE-9A11-4058-A350-19AAFE158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026E1-C0D0-4209-B720-7FC1557F8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Grandys-Kil</dc:creator>
  <cp:keywords/>
  <dc:description/>
  <cp:lastModifiedBy>Tomasz GARDZIEWICZ</cp:lastModifiedBy>
  <cp:revision>3</cp:revision>
  <dcterms:created xsi:type="dcterms:W3CDTF">2026-06-16T09:37:00Z</dcterms:created>
  <dcterms:modified xsi:type="dcterms:W3CDTF">2026-06-22T13:07:00Z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0x01010039C92B74DE88A04B8B59D7C6E1CF21DA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1608abcd,62cc3515,47de7406</vt:lpwstr>
  </property>
  <property fmtid="{D5CDD505-2E9C-101B-9397-08002B2CF9AE}" pid="5" name="ClassificationContentMarkingFooterFontProps">
    <vt:lpwstr>#0078d7,10,Aptos</vt:lpwstr>
  </property>
  <property fmtid="{D5CDD505-2E9C-101B-9397-08002B2CF9AE}" pid="6" name="ClassificationContentMarkingFooterText">
    <vt:lpwstr>Classification : Internal</vt:lpwstr>
  </property>
  <property fmtid="{D5CDD505-2E9C-101B-9397-08002B2CF9AE}" pid="7" name="MSIP_Label_8ffbc0b8-e97b-47d1-beac-cb0955d66f3b_Enabled">
    <vt:lpwstr>true</vt:lpwstr>
  </property>
  <property fmtid="{D5CDD505-2E9C-101B-9397-08002B2CF9AE}" pid="8" name="MSIP_Label_8ffbc0b8-e97b-47d1-beac-cb0955d66f3b_SetDate">
    <vt:lpwstr>2026-05-28T07:28:39Z</vt:lpwstr>
  </property>
  <property fmtid="{D5CDD505-2E9C-101B-9397-08002B2CF9AE}" pid="9" name="MSIP_Label_8ffbc0b8-e97b-47d1-beac-cb0955d66f3b_Method">
    <vt:lpwstr>Privileged</vt:lpwstr>
  </property>
  <property fmtid="{D5CDD505-2E9C-101B-9397-08002B2CF9AE}" pid="10" name="MSIP_Label_8ffbc0b8-e97b-47d1-beac-cb0955d66f3b_Name">
    <vt:lpwstr>8ffbc0b8-e97b-47d1-beac-cb0955d66f3b</vt:lpwstr>
  </property>
  <property fmtid="{D5CDD505-2E9C-101B-9397-08002B2CF9AE}" pid="11" name="MSIP_Label_8ffbc0b8-e97b-47d1-beac-cb0955d66f3b_SiteId">
    <vt:lpwstr>614f9c25-bffa-42c7-86d8-964101f55fa2</vt:lpwstr>
  </property>
  <property fmtid="{D5CDD505-2E9C-101B-9397-08002B2CF9AE}" pid="12" name="MSIP_Label_8ffbc0b8-e97b-47d1-beac-cb0955d66f3b_ActionId">
    <vt:lpwstr>92fbd700-284b-45ae-8c19-9e2b47f8bcbb</vt:lpwstr>
  </property>
  <property fmtid="{D5CDD505-2E9C-101B-9397-08002B2CF9AE}" pid="13" name="MSIP_Label_8ffbc0b8-e97b-47d1-beac-cb0955d66f3b_ContentBits">
    <vt:lpwstr>2</vt:lpwstr>
  </property>
  <property fmtid="{D5CDD505-2E9C-101B-9397-08002B2CF9AE}" pid="14" name="MSIP_Label_8ffbc0b8-e97b-47d1-beac-cb0955d66f3b_Tag">
    <vt:lpwstr>10, 0, 1, 1</vt:lpwstr>
  </property>
</Properties>
</file>