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70E40" w14:textId="4309D71C" w:rsidR="00CD723A" w:rsidRPr="00872434" w:rsidRDefault="00D612ED" w:rsidP="00CD723A">
      <w:r>
        <w:rPr>
          <w:sz w:val="20"/>
        </w:rPr>
        <w:t>Warszawa</w:t>
      </w:r>
      <w:r w:rsidR="00E562CB">
        <w:rPr>
          <w:sz w:val="20"/>
        </w:rPr>
        <w:t>,</w:t>
      </w:r>
      <w:r w:rsidR="00DF0B7D">
        <w:rPr>
          <w:sz w:val="20"/>
        </w:rPr>
        <w:t xml:space="preserve"> 25</w:t>
      </w:r>
      <w:r w:rsidR="00E562CB">
        <w:rPr>
          <w:sz w:val="20"/>
        </w:rPr>
        <w:t>.</w:t>
      </w:r>
      <w:r>
        <w:rPr>
          <w:sz w:val="20"/>
        </w:rPr>
        <w:t>08.2026</w:t>
      </w:r>
    </w:p>
    <w:p w14:paraId="2F4A7C13" w14:textId="77777777" w:rsidR="00422A2C" w:rsidRPr="00872434" w:rsidRDefault="00422A2C" w:rsidP="61E7C077">
      <w:pPr>
        <w:rPr>
          <w:sz w:val="20"/>
        </w:rPr>
      </w:pPr>
    </w:p>
    <w:p w14:paraId="5786C209" w14:textId="77777777" w:rsidR="00543036" w:rsidRPr="00872434" w:rsidRDefault="00991878" w:rsidP="00752921">
      <w:r w:rsidRPr="00872434">
        <w:rPr>
          <w:noProof/>
          <w:lang w:eastAsia="ja-JP"/>
        </w:rPr>
        <mc:AlternateContent>
          <mc:Choice Requires="wps">
            <w:drawing>
              <wp:inline distT="0" distB="0" distL="0" distR="0" wp14:anchorId="208E4866" wp14:editId="0D7C2E59">
                <wp:extent cx="6479177" cy="270000"/>
                <wp:effectExtent l="0" t="0" r="0" b="0"/>
                <wp:docPr id="6" name="Rectangle 6">
                  <a:extLst xmlns:a="http://schemas.openxmlformats.org/drawingml/2006/main">
                    <a:ext uri="{FF2B5EF4-FFF2-40B4-BE49-F238E27FC236}">
                      <a16:creationId xmlns:a16="http://schemas.microsoft.com/office/drawing/2014/main" id="{B8DFB95D-0B88-4EB2-BBD7-696519907237}"/>
                    </a:ext>
                  </a:extLst>
                </wp:docPr>
                <wp:cNvGraphicFramePr/>
                <a:graphic xmlns:a="http://schemas.openxmlformats.org/drawingml/2006/main">
                  <a:graphicData uri="http://schemas.microsoft.com/office/word/2010/wordprocessingShape">
                    <wps:wsp>
                      <wps:cNvSpPr/>
                      <wps:spPr>
                        <a:xfrm>
                          <a:off x="0" y="0"/>
                          <a:ext cx="6479177" cy="270000"/>
                        </a:xfrm>
                        <a:prstGeom prst="rect">
                          <a:avLst/>
                        </a:prstGeom>
                        <a:solidFill>
                          <a:schemeClr val="accent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99454B" w14:textId="04F1533B" w:rsidR="001174CD" w:rsidRPr="00872434" w:rsidRDefault="00D612ED" w:rsidP="008C4C01">
                            <w:r w:rsidRPr="00872434">
                              <w:t>INFORMACJA PRASOWA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208E4866" id="Rectangle 6" o:spid="_x0000_s1026" style="width:510.15pt;height:2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" fillcolor="#00a76c [3204]" stroked="f" strokeweight=".25pt">
                <v:textbox inset="0,0,0,0">
                  <w:txbxContent>
                    <w:p w14:paraId="7399454B" w14:textId="04F1533B" w:rsidR="001174CD" w:rsidRPr="00872434" w:rsidRDefault="00D612ED" w:rsidP="008C4C01">
                      <w:r w:rsidRPr="00872434">
                        <w:t>INFORMACJA PRASOWA</w:t>
                      </w:r>
                    </w:p>
                  </w:txbxContent>
                </v:textbox>
                <w10:anchorlock/>
              </v:rect>
            </w:pict>
          </mc:Fallback>
        </mc:AlternateContent>
      </w:r>
    </w:p>
    <w:p w14:paraId="1B018E73" w14:textId="77777777" w:rsidR="00112F0A" w:rsidRDefault="00112F0A" w:rsidP="00265452">
      <w:pPr>
        <w:spacing w:after="160" w:line="257" w:lineRule="auto"/>
        <w:rPr>
          <w:rFonts w:eastAsiaTheme="minorEastAsia" w:cstheme="minorBidi"/>
          <w:b/>
          <w:bCs/>
          <w:sz w:val="22"/>
          <w:szCs w:val="22"/>
        </w:rPr>
      </w:pPr>
    </w:p>
    <w:p w14:paraId="727994D3" w14:textId="431A3BEA" w:rsidR="00112F0A" w:rsidRPr="00A35604" w:rsidRDefault="00112F0A" w:rsidP="00112F0A">
      <w:pPr>
        <w:spacing w:after="120" w:line="259" w:lineRule="auto"/>
        <w:rPr>
          <w:rFonts w:eastAsiaTheme="minorEastAsia" w:cstheme="minorBidi"/>
          <w:b/>
          <w:bCs/>
          <w:sz w:val="28"/>
          <w:szCs w:val="28"/>
        </w:rPr>
      </w:pPr>
      <w:r>
        <w:rPr>
          <w:b/>
          <w:sz w:val="28"/>
        </w:rPr>
        <w:t>Regionalne biura przyspieszają: najemcy wybierają jakość, a nowa podaż pozostaje ograniczona</w:t>
      </w:r>
    </w:p>
    <w:p w14:paraId="5942F2BC" w14:textId="01F4AE37" w:rsidR="00A35604" w:rsidRPr="00A35604" w:rsidRDefault="00A35604" w:rsidP="00112F0A">
      <w:pPr>
        <w:spacing w:after="120" w:line="259" w:lineRule="auto"/>
        <w:rPr>
          <w:rFonts w:eastAsiaTheme="minorEastAsia" w:cstheme="minorBidi"/>
          <w:b/>
          <w:bCs/>
          <w:sz w:val="22"/>
          <w:szCs w:val="22"/>
        </w:rPr>
      </w:pPr>
      <w:r>
        <w:rPr>
          <w:b/>
          <w:sz w:val="22"/>
        </w:rPr>
        <w:t xml:space="preserve">W II kwartale 2026 roku regionalne rynki biurowe odnotowały wyraźne odbicie aktywności najemców. W ośmiu największych miastach </w:t>
      </w:r>
      <w:r w:rsidR="008676AF">
        <w:rPr>
          <w:b/>
          <w:sz w:val="22"/>
        </w:rPr>
        <w:t xml:space="preserve">Polski - </w:t>
      </w:r>
      <w:r>
        <w:rPr>
          <w:b/>
          <w:sz w:val="22"/>
        </w:rPr>
        <w:t xml:space="preserve">poza Warszawą </w:t>
      </w:r>
      <w:r w:rsidR="008676AF">
        <w:rPr>
          <w:b/>
          <w:sz w:val="22"/>
        </w:rPr>
        <w:t xml:space="preserve">- </w:t>
      </w:r>
      <w:r>
        <w:rPr>
          <w:b/>
          <w:sz w:val="22"/>
        </w:rPr>
        <w:t>podpisano umowy na 187,5 tys. m kw., czyli o 56,5% więcej niż kwartał wcześniej. Jednocześnie bardzo ograniczona nowa podaż i utrzymujący się trend „</w:t>
      </w:r>
      <w:proofErr w:type="spellStart"/>
      <w:r>
        <w:rPr>
          <w:b/>
          <w:sz w:val="22"/>
        </w:rPr>
        <w:t>flight</w:t>
      </w:r>
      <w:proofErr w:type="spellEnd"/>
      <w:r>
        <w:rPr>
          <w:b/>
          <w:sz w:val="22"/>
        </w:rPr>
        <w:t xml:space="preserve"> to </w:t>
      </w:r>
      <w:proofErr w:type="spellStart"/>
      <w:r>
        <w:rPr>
          <w:b/>
          <w:sz w:val="22"/>
        </w:rPr>
        <w:t>quality</w:t>
      </w:r>
      <w:proofErr w:type="spellEnd"/>
      <w:r>
        <w:rPr>
          <w:b/>
          <w:sz w:val="22"/>
        </w:rPr>
        <w:t xml:space="preserve">” wzmacniają przewagę nowoczesnych, dobrze skomunikowanych i efektywnych energetycznie budynków – wynika z raportu BNP </w:t>
      </w:r>
      <w:proofErr w:type="spellStart"/>
      <w:r>
        <w:rPr>
          <w:b/>
          <w:sz w:val="22"/>
        </w:rPr>
        <w:t>Paribas</w:t>
      </w:r>
      <w:proofErr w:type="spellEnd"/>
      <w:r>
        <w:rPr>
          <w:b/>
          <w:sz w:val="22"/>
        </w:rPr>
        <w:t xml:space="preserve"> Real </w:t>
      </w:r>
      <w:proofErr w:type="spellStart"/>
      <w:r>
        <w:rPr>
          <w:b/>
          <w:sz w:val="22"/>
        </w:rPr>
        <w:t>Estate</w:t>
      </w:r>
      <w:proofErr w:type="spellEnd"/>
      <w:r>
        <w:rPr>
          <w:b/>
          <w:sz w:val="22"/>
        </w:rPr>
        <w:t xml:space="preserve"> Poland „</w:t>
      </w:r>
      <w:proofErr w:type="spellStart"/>
      <w:r>
        <w:rPr>
          <w:b/>
          <w:sz w:val="22"/>
        </w:rPr>
        <w:t>Review</w:t>
      </w:r>
      <w:proofErr w:type="spellEnd"/>
      <w:r>
        <w:rPr>
          <w:b/>
          <w:sz w:val="22"/>
        </w:rPr>
        <w:t>. Rynek biurowy w regionach” za II kwartał 2026 roku.</w:t>
      </w:r>
    </w:p>
    <w:p w14:paraId="40289C74" w14:textId="77777777" w:rsidR="00DF0B7D" w:rsidRDefault="00DF0B7D" w:rsidP="00A35604">
      <w:pPr>
        <w:spacing w:after="120" w:line="259" w:lineRule="auto"/>
        <w:rPr>
          <w:b/>
          <w:color w:val="00A76C"/>
          <w:sz w:val="20"/>
        </w:rPr>
      </w:pPr>
    </w:p>
    <w:p w14:paraId="7D6BC005" w14:textId="0DEC5FEC" w:rsidR="00A35604" w:rsidRPr="00A35604" w:rsidRDefault="00A35604" w:rsidP="00A35604">
      <w:pPr>
        <w:spacing w:after="120" w:line="259" w:lineRule="auto"/>
        <w:rPr>
          <w:rFonts w:eastAsiaTheme="minorEastAsia" w:cstheme="minorBidi"/>
          <w:b/>
          <w:bCs/>
          <w:color w:val="00A76C" w:themeColor="accent6"/>
          <w:sz w:val="22"/>
          <w:szCs w:val="22"/>
        </w:rPr>
      </w:pPr>
      <w:r>
        <w:rPr>
          <w:b/>
          <w:color w:val="00A76C"/>
          <w:sz w:val="20"/>
        </w:rPr>
        <w:t>Rynek wraca na szybsze obroty</w:t>
      </w:r>
    </w:p>
    <w:p w14:paraId="75ACE007" w14:textId="3F58FF12" w:rsidR="00A35604" w:rsidRPr="00A35604" w:rsidRDefault="00A35604" w:rsidP="00A35604">
      <w:pPr>
        <w:spacing w:after="120" w:line="259" w:lineRule="auto"/>
        <w:rPr>
          <w:rFonts w:eastAsiaTheme="minorEastAsia" w:cstheme="minorBidi"/>
          <w:sz w:val="22"/>
          <w:szCs w:val="22"/>
        </w:rPr>
      </w:pPr>
      <w:r>
        <w:rPr>
          <w:sz w:val="20"/>
        </w:rPr>
        <w:t>Regionalny rynek biurowy wszedł w drugą połowę roku z mocnym sygnałem poprawy nastrojów. Choć kwartalny wolumen transakcji był o 13,1% niższy niż rok wcześniej, jego wyraźny wzrost względem poprzedniego kwartału potwierdza stopniowe ożywienie po stronie najemców. Największą aktywność odnotowano w Krakowie i Poznaniu, które łącznie odpowiadały za ponad połowę zawartej powierzchni najmu. Kolejne miejsce zajęły Katowice z 13% udziałem w wolumenie transakcji.</w:t>
      </w:r>
    </w:p>
    <w:p w14:paraId="041B53E0" w14:textId="2F22B82C" w:rsidR="00A35604" w:rsidRPr="00E562CB" w:rsidRDefault="00A35604" w:rsidP="00A35604">
      <w:pPr>
        <w:spacing w:after="120" w:line="259" w:lineRule="auto"/>
        <w:rPr>
          <w:rFonts w:eastAsiaTheme="minorEastAsia" w:cstheme="minorBidi"/>
          <w:iCs/>
          <w:sz w:val="20"/>
        </w:rPr>
      </w:pPr>
      <w:r>
        <w:rPr>
          <w:i/>
          <w:sz w:val="20"/>
        </w:rPr>
        <w:t>– Nie tylko wielkość zawieranych transakcji, lecz także ich struktura wskazuje na poprawę koniunktury. Wysoki udział nowych umów pokazuje, że najemcy aktywnie dostosowują swoje biura do aktualnych potrzeb organizacyjnych, modelu pracy hybrydowej oraz oczekiwań pracowników.</w:t>
      </w:r>
      <w:r w:rsidR="00643800">
        <w:rPr>
          <w:i/>
          <w:sz w:val="20"/>
        </w:rPr>
        <w:t xml:space="preserve"> </w:t>
      </w:r>
      <w:r w:rsidR="00643800">
        <w:rPr>
          <w:iCs/>
          <w:sz w:val="20"/>
        </w:rPr>
        <w:t xml:space="preserve">– </w:t>
      </w:r>
      <w:r w:rsidR="00643800" w:rsidRPr="00643800">
        <w:rPr>
          <w:iCs/>
          <w:sz w:val="20"/>
        </w:rPr>
        <w:t xml:space="preserve">komentuje </w:t>
      </w:r>
      <w:r w:rsidR="00643800" w:rsidRPr="00E562CB">
        <w:rPr>
          <w:b/>
          <w:bCs/>
          <w:sz w:val="20"/>
        </w:rPr>
        <w:t xml:space="preserve">Ewa </w:t>
      </w:r>
      <w:proofErr w:type="spellStart"/>
      <w:r w:rsidR="00643800" w:rsidRPr="00E562CB">
        <w:rPr>
          <w:b/>
          <w:bCs/>
          <w:sz w:val="20"/>
        </w:rPr>
        <w:t>Nicewicz</w:t>
      </w:r>
      <w:proofErr w:type="spellEnd"/>
      <w:r w:rsidR="00643800" w:rsidRPr="00E562CB">
        <w:rPr>
          <w:b/>
          <w:bCs/>
          <w:sz w:val="20"/>
        </w:rPr>
        <w:t xml:space="preserve">, Starsza Konsultantka, Dział Wynajmu Powierzchni Biurowych BNP </w:t>
      </w:r>
      <w:proofErr w:type="spellStart"/>
      <w:r w:rsidR="00643800" w:rsidRPr="00E562CB">
        <w:rPr>
          <w:b/>
          <w:bCs/>
          <w:sz w:val="20"/>
        </w:rPr>
        <w:t>Paribas</w:t>
      </w:r>
      <w:proofErr w:type="spellEnd"/>
      <w:r w:rsidR="00643800" w:rsidRPr="00E562CB">
        <w:rPr>
          <w:b/>
          <w:bCs/>
          <w:sz w:val="20"/>
        </w:rPr>
        <w:t xml:space="preserve"> Real </w:t>
      </w:r>
      <w:proofErr w:type="spellStart"/>
      <w:r w:rsidR="00643800" w:rsidRPr="00E562CB">
        <w:rPr>
          <w:b/>
          <w:bCs/>
          <w:sz w:val="20"/>
        </w:rPr>
        <w:t>Estate</w:t>
      </w:r>
      <w:proofErr w:type="spellEnd"/>
      <w:r w:rsidR="00643800" w:rsidRPr="00E562CB">
        <w:rPr>
          <w:b/>
          <w:bCs/>
          <w:sz w:val="20"/>
        </w:rPr>
        <w:t xml:space="preserve"> Poland</w:t>
      </w:r>
      <w:r w:rsidR="00FA70AF">
        <w:rPr>
          <w:b/>
          <w:bCs/>
          <w:sz w:val="20"/>
        </w:rPr>
        <w:t>.</w:t>
      </w:r>
    </w:p>
    <w:p w14:paraId="730129B3" w14:textId="6F390FAC" w:rsidR="00A35604" w:rsidRPr="00A35604" w:rsidRDefault="00A35604" w:rsidP="00A35604">
      <w:pPr>
        <w:spacing w:after="120" w:line="259" w:lineRule="auto"/>
        <w:rPr>
          <w:rFonts w:eastAsiaTheme="minorEastAsia" w:cstheme="minorBidi"/>
          <w:sz w:val="22"/>
          <w:szCs w:val="22"/>
        </w:rPr>
      </w:pPr>
      <w:r>
        <w:rPr>
          <w:sz w:val="20"/>
        </w:rPr>
        <w:t>Nowe umowy stanowiły 45,2% wolumenu najmu, a renegocjacje 42,5%. Najbardziej aktywną grupą najemców pozostały firmy z sektora IT, odpowiadające za ok</w:t>
      </w:r>
      <w:r w:rsidR="00FA70AF">
        <w:rPr>
          <w:sz w:val="20"/>
        </w:rPr>
        <w:t>oło</w:t>
      </w:r>
      <w:r w:rsidR="009E6707">
        <w:rPr>
          <w:sz w:val="20"/>
        </w:rPr>
        <w:t xml:space="preserve"> </w:t>
      </w:r>
      <w:r>
        <w:rPr>
          <w:sz w:val="20"/>
        </w:rPr>
        <w:t>jedną czwartą wynajętej powierzchni. Do największych transakcji II kwartału należały</w:t>
      </w:r>
      <w:r w:rsidR="00AD12CA">
        <w:rPr>
          <w:sz w:val="20"/>
        </w:rPr>
        <w:t>:</w:t>
      </w:r>
      <w:r>
        <w:rPr>
          <w:sz w:val="20"/>
        </w:rPr>
        <w:t xml:space="preserve"> nowa umowa Brown </w:t>
      </w:r>
      <w:proofErr w:type="spellStart"/>
      <w:r>
        <w:rPr>
          <w:sz w:val="20"/>
        </w:rPr>
        <w:t>Brothers</w:t>
      </w:r>
      <w:proofErr w:type="spellEnd"/>
      <w:r>
        <w:rPr>
          <w:sz w:val="20"/>
        </w:rPr>
        <w:t xml:space="preserve"> Harriman w budynku Wita C w Krakowie oraz przedłużenie połączone z ekspansją firmy Enea w Business Garden Poznań.</w:t>
      </w:r>
    </w:p>
    <w:p w14:paraId="204B0CE2" w14:textId="5FCDBE0F" w:rsidR="00A35604" w:rsidRPr="00A35604" w:rsidRDefault="00A35604" w:rsidP="00A35604">
      <w:pPr>
        <w:spacing w:after="120" w:line="259" w:lineRule="auto"/>
        <w:rPr>
          <w:rFonts w:eastAsiaTheme="minorEastAsia" w:cstheme="minorBidi"/>
          <w:b/>
          <w:bCs/>
          <w:color w:val="00A76C" w:themeColor="accent6"/>
          <w:sz w:val="22"/>
          <w:szCs w:val="22"/>
        </w:rPr>
      </w:pPr>
      <w:r>
        <w:rPr>
          <w:b/>
          <w:color w:val="00A76C"/>
          <w:sz w:val="20"/>
        </w:rPr>
        <w:t>Nowa podaż pozostaje niska</w:t>
      </w:r>
    </w:p>
    <w:p w14:paraId="28D87E03" w14:textId="7A3A08FF" w:rsidR="00A35604" w:rsidRPr="00A35604" w:rsidRDefault="00A35604" w:rsidP="00A35604">
      <w:pPr>
        <w:spacing w:after="120" w:line="259" w:lineRule="auto"/>
        <w:rPr>
          <w:rFonts w:eastAsiaTheme="minorEastAsia" w:cstheme="minorBidi"/>
          <w:sz w:val="22"/>
          <w:szCs w:val="22"/>
        </w:rPr>
      </w:pPr>
      <w:r>
        <w:rPr>
          <w:sz w:val="20"/>
        </w:rPr>
        <w:t>Aktywność deweloperska na rynkach regionalnych pozostaje bardzo ograniczona. W II kwartale 2026 roku do zasobów trafiło 26,6 tys. m kw. nowoczesnej powierzchni biurowej, niemal wyłącznie w Krakowie. Zasoby istniejącej powierzchni w ośmiu miastach regionalnych wyniosły 6,76 mln m kw., przy czym największymi rynkami pozostają Kraków, Wrocław i Trójmiasto.</w:t>
      </w:r>
    </w:p>
    <w:p w14:paraId="31CBBD9A" w14:textId="6CCBD6C6" w:rsidR="00FA70AF" w:rsidRPr="002804D4" w:rsidRDefault="00A35604" w:rsidP="00FA70AF">
      <w:pPr>
        <w:spacing w:after="120" w:line="259" w:lineRule="auto"/>
        <w:rPr>
          <w:rFonts w:eastAsiaTheme="minorEastAsia" w:cstheme="minorBidi"/>
          <w:iCs/>
          <w:sz w:val="20"/>
        </w:rPr>
      </w:pPr>
      <w:r>
        <w:rPr>
          <w:i/>
          <w:sz w:val="20"/>
        </w:rPr>
        <w:t>– Ograniczona skala nowych projektów oraz selektywność najemców będą sprzyjały dalszemu różnicowaniu rynku. Najlepiej pozycjonowane, nowoczesne budynki powinny utrzymywać przewagę konkurencyjną, podczas gdy starsze obiekty będą coraz silniej odczuwać presję modernizacyjną</w:t>
      </w:r>
      <w:r w:rsidRPr="00FA70AF">
        <w:rPr>
          <w:i/>
          <w:sz w:val="20"/>
        </w:rPr>
        <w:t>.</w:t>
      </w:r>
      <w:r w:rsidR="00FA70AF" w:rsidRPr="00FA70AF">
        <w:rPr>
          <w:i/>
          <w:sz w:val="20"/>
        </w:rPr>
        <w:t xml:space="preserve"> </w:t>
      </w:r>
      <w:r w:rsidR="00FA70AF" w:rsidRPr="00FA70AF">
        <w:rPr>
          <w:iCs/>
          <w:sz w:val="20"/>
        </w:rPr>
        <w:t xml:space="preserve">– dodaje </w:t>
      </w:r>
      <w:r w:rsidR="00FA70AF" w:rsidRPr="00FA70AF">
        <w:rPr>
          <w:b/>
          <w:bCs/>
          <w:sz w:val="20"/>
        </w:rPr>
        <w:t xml:space="preserve">Ewa </w:t>
      </w:r>
      <w:proofErr w:type="spellStart"/>
      <w:r w:rsidR="00FA70AF" w:rsidRPr="00FA70AF">
        <w:rPr>
          <w:b/>
          <w:bCs/>
          <w:sz w:val="20"/>
        </w:rPr>
        <w:t>Nicewicz</w:t>
      </w:r>
      <w:proofErr w:type="spellEnd"/>
      <w:r w:rsidR="00FA70AF" w:rsidRPr="00FA70AF">
        <w:rPr>
          <w:b/>
          <w:bCs/>
          <w:sz w:val="20"/>
        </w:rPr>
        <w:t>.</w:t>
      </w:r>
    </w:p>
    <w:p w14:paraId="7DB0FA4A" w14:textId="70358ED7" w:rsidR="00A35604" w:rsidRPr="00FA70AF" w:rsidRDefault="00A35604" w:rsidP="00A35604">
      <w:pPr>
        <w:spacing w:after="120" w:line="259" w:lineRule="auto"/>
        <w:rPr>
          <w:rFonts w:eastAsiaTheme="minorEastAsia" w:cstheme="minorBidi"/>
          <w:iCs/>
          <w:sz w:val="22"/>
          <w:szCs w:val="22"/>
        </w:rPr>
      </w:pPr>
    </w:p>
    <w:p w14:paraId="20413EDB" w14:textId="0215141B" w:rsidR="00A35604" w:rsidRPr="00A35604" w:rsidRDefault="00A35604" w:rsidP="00A35604">
      <w:pPr>
        <w:spacing w:after="120" w:line="259" w:lineRule="auto"/>
        <w:rPr>
          <w:rFonts w:eastAsiaTheme="minorEastAsia" w:cstheme="minorBidi"/>
          <w:b/>
          <w:bCs/>
          <w:color w:val="00A76C" w:themeColor="accent6"/>
          <w:sz w:val="22"/>
          <w:szCs w:val="22"/>
        </w:rPr>
      </w:pPr>
      <w:r>
        <w:rPr>
          <w:b/>
          <w:color w:val="00A76C"/>
          <w:sz w:val="20"/>
        </w:rPr>
        <w:t>Pustostany: stabilizacja z potencjałem spadku</w:t>
      </w:r>
    </w:p>
    <w:p w14:paraId="4D8DF154" w14:textId="5CB4FB60" w:rsidR="00A35604" w:rsidRPr="00A35604" w:rsidRDefault="00A35604" w:rsidP="00A35604">
      <w:pPr>
        <w:spacing w:after="120" w:line="259" w:lineRule="auto"/>
        <w:rPr>
          <w:rFonts w:eastAsiaTheme="minorEastAsia" w:cstheme="minorBidi"/>
          <w:sz w:val="22"/>
          <w:szCs w:val="22"/>
        </w:rPr>
      </w:pPr>
      <w:r>
        <w:rPr>
          <w:sz w:val="20"/>
        </w:rPr>
        <w:t>Na koniec czerwca średni wskaźnik pustostanów w miastach regionalnych wyniósł 17,3%, a dostępna od zaraz powierzchnia sięgnęła 1,17 mln m kw. Najwyższy poziom niewynajęt</w:t>
      </w:r>
      <w:r w:rsidR="00FA70AF">
        <w:rPr>
          <w:sz w:val="20"/>
        </w:rPr>
        <w:t>ych</w:t>
      </w:r>
      <w:r>
        <w:rPr>
          <w:sz w:val="20"/>
        </w:rPr>
        <w:t xml:space="preserve"> </w:t>
      </w:r>
      <w:r w:rsidR="00FA70AF">
        <w:rPr>
          <w:sz w:val="20"/>
        </w:rPr>
        <w:t xml:space="preserve">zasobów </w:t>
      </w:r>
      <w:r>
        <w:rPr>
          <w:sz w:val="20"/>
        </w:rPr>
        <w:t>odnotowano w Katowicach i we Wrocławiu, natomiast najniższy w Szczecinie. Przy utrzymującej się aktywności najemców i ograniczonej skali nowych dostaw, w kolejnych kwartałach możliwa jest stopniowa poprawa równowagi rynkowej.</w:t>
      </w:r>
    </w:p>
    <w:p w14:paraId="552D24F4" w14:textId="0FD4C265" w:rsidR="00FA70AF" w:rsidRPr="002804D4" w:rsidRDefault="00A35604" w:rsidP="00FA70AF">
      <w:pPr>
        <w:spacing w:after="120" w:line="259" w:lineRule="auto"/>
        <w:rPr>
          <w:rFonts w:eastAsiaTheme="minorEastAsia" w:cstheme="minorBidi"/>
          <w:iCs/>
          <w:sz w:val="20"/>
        </w:rPr>
      </w:pPr>
      <w:r>
        <w:rPr>
          <w:i/>
          <w:sz w:val="20"/>
        </w:rPr>
        <w:t>– Powrót pracowników do biur oraz utrwalanie modelu hybrydowego wspierają popyt na powierzchnie, które oferują elastyczność, wysoki standard techniczny i dobre doświadczenie użytkownika. To właśnie te elementy coraz częściej decydują o wyborze budynku.</w:t>
      </w:r>
      <w:r w:rsidR="00FA70AF">
        <w:rPr>
          <w:iCs/>
          <w:sz w:val="20"/>
        </w:rPr>
        <w:t xml:space="preserve"> – komentuje </w:t>
      </w:r>
      <w:r w:rsidR="00FA70AF">
        <w:rPr>
          <w:b/>
          <w:bCs/>
          <w:sz w:val="20"/>
        </w:rPr>
        <w:t xml:space="preserve">Karolina </w:t>
      </w:r>
      <w:proofErr w:type="spellStart"/>
      <w:r w:rsidR="00FA70AF">
        <w:rPr>
          <w:b/>
          <w:bCs/>
          <w:sz w:val="20"/>
        </w:rPr>
        <w:t>Ukalska</w:t>
      </w:r>
      <w:proofErr w:type="spellEnd"/>
      <w:r w:rsidR="00FA70AF" w:rsidRPr="002804D4">
        <w:rPr>
          <w:b/>
          <w:bCs/>
          <w:sz w:val="20"/>
        </w:rPr>
        <w:t xml:space="preserve">, Konsultantka, Dział Wynajmu Powierzchni Biurowych BNP </w:t>
      </w:r>
      <w:proofErr w:type="spellStart"/>
      <w:r w:rsidR="00FA70AF" w:rsidRPr="002804D4">
        <w:rPr>
          <w:b/>
          <w:bCs/>
          <w:sz w:val="20"/>
        </w:rPr>
        <w:t>Paribas</w:t>
      </w:r>
      <w:proofErr w:type="spellEnd"/>
      <w:r w:rsidR="00FA70AF" w:rsidRPr="002804D4">
        <w:rPr>
          <w:b/>
          <w:bCs/>
          <w:sz w:val="20"/>
        </w:rPr>
        <w:t xml:space="preserve"> Real </w:t>
      </w:r>
      <w:proofErr w:type="spellStart"/>
      <w:r w:rsidR="00FA70AF" w:rsidRPr="002804D4">
        <w:rPr>
          <w:b/>
          <w:bCs/>
          <w:sz w:val="20"/>
        </w:rPr>
        <w:t>Estate</w:t>
      </w:r>
      <w:proofErr w:type="spellEnd"/>
      <w:r w:rsidR="00FA70AF" w:rsidRPr="002804D4">
        <w:rPr>
          <w:b/>
          <w:bCs/>
          <w:sz w:val="20"/>
        </w:rPr>
        <w:t xml:space="preserve"> Poland</w:t>
      </w:r>
      <w:r w:rsidR="00FA70AF">
        <w:rPr>
          <w:b/>
          <w:bCs/>
          <w:sz w:val="20"/>
        </w:rPr>
        <w:t>.</w:t>
      </w:r>
    </w:p>
    <w:p w14:paraId="6D7DB5A3" w14:textId="3FEF98C8" w:rsidR="00A35604" w:rsidRPr="00E562CB" w:rsidRDefault="00A35604" w:rsidP="00A35604">
      <w:pPr>
        <w:spacing w:after="120" w:line="259" w:lineRule="auto"/>
        <w:rPr>
          <w:rFonts w:eastAsiaTheme="minorEastAsia" w:cstheme="minorBidi"/>
          <w:iCs/>
          <w:sz w:val="22"/>
          <w:szCs w:val="22"/>
        </w:rPr>
      </w:pPr>
    </w:p>
    <w:p w14:paraId="4ACF9571" w14:textId="77777777" w:rsidR="00A35604" w:rsidRDefault="00A35604" w:rsidP="00A35604">
      <w:pPr>
        <w:spacing w:after="120" w:line="259" w:lineRule="auto"/>
        <w:rPr>
          <w:rFonts w:eastAsiaTheme="minorEastAsia" w:cstheme="minorBidi"/>
          <w:b/>
          <w:bCs/>
          <w:color w:val="00A76C" w:themeColor="accent6"/>
          <w:sz w:val="22"/>
          <w:szCs w:val="22"/>
        </w:rPr>
      </w:pPr>
    </w:p>
    <w:p w14:paraId="64B27A63" w14:textId="6235F39C" w:rsidR="00A35604" w:rsidRPr="00A35604" w:rsidRDefault="00A35604" w:rsidP="00A35604">
      <w:pPr>
        <w:spacing w:after="120" w:line="259" w:lineRule="auto"/>
        <w:rPr>
          <w:rFonts w:eastAsiaTheme="minorEastAsia" w:cstheme="minorBidi"/>
          <w:b/>
          <w:bCs/>
          <w:color w:val="00A76C" w:themeColor="accent6"/>
          <w:sz w:val="22"/>
          <w:szCs w:val="22"/>
        </w:rPr>
      </w:pPr>
      <w:r>
        <w:rPr>
          <w:b/>
          <w:color w:val="00A76C"/>
          <w:sz w:val="20"/>
        </w:rPr>
        <w:lastRenderedPageBreak/>
        <w:t>Czynsze i standard budynków</w:t>
      </w:r>
    </w:p>
    <w:p w14:paraId="3793E687" w14:textId="0AAE298D" w:rsidR="00A35604" w:rsidRPr="00A35604" w:rsidRDefault="00A35604" w:rsidP="00A35604">
      <w:pPr>
        <w:spacing w:after="120" w:line="259" w:lineRule="auto"/>
        <w:rPr>
          <w:rFonts w:eastAsiaTheme="minorEastAsia" w:cstheme="minorBidi"/>
          <w:sz w:val="22"/>
          <w:szCs w:val="22"/>
        </w:rPr>
      </w:pPr>
      <w:r>
        <w:rPr>
          <w:sz w:val="20"/>
        </w:rPr>
        <w:t>Na rynku utrzymuje się trend „</w:t>
      </w:r>
      <w:proofErr w:type="spellStart"/>
      <w:r>
        <w:rPr>
          <w:sz w:val="20"/>
        </w:rPr>
        <w:t>flight</w:t>
      </w:r>
      <w:proofErr w:type="spellEnd"/>
      <w:r>
        <w:rPr>
          <w:sz w:val="20"/>
        </w:rPr>
        <w:t xml:space="preserve"> to </w:t>
      </w:r>
      <w:proofErr w:type="spellStart"/>
      <w:r>
        <w:rPr>
          <w:sz w:val="20"/>
        </w:rPr>
        <w:t>quality</w:t>
      </w:r>
      <w:proofErr w:type="spellEnd"/>
      <w:r>
        <w:rPr>
          <w:sz w:val="20"/>
        </w:rPr>
        <w:t>”, czyli relokacji do nowoczesnych, energooszczędnych budynków o wysokim standardzie technicznym, dobrej dostępności komunikacyjnej i rozbudowanej ofercie usług. Rosnąca rola ESG, efektywności energetycznej oraz kontroli kosztów eksploatacyjnych sprawia, że starsze obiekty coraz częściej konkurują już nie tylko ceną, lecz także zdolnością do spełnienia oczekiwań najemców.</w:t>
      </w:r>
    </w:p>
    <w:p w14:paraId="3FFF87C2" w14:textId="1A3E7174" w:rsidR="00A35604" w:rsidRPr="00A35604" w:rsidRDefault="00A35604" w:rsidP="00A35604">
      <w:pPr>
        <w:spacing w:after="120" w:line="259" w:lineRule="auto"/>
        <w:rPr>
          <w:rFonts w:eastAsiaTheme="minorEastAsia" w:cstheme="minorBidi"/>
          <w:sz w:val="22"/>
          <w:szCs w:val="22"/>
        </w:rPr>
      </w:pPr>
      <w:r>
        <w:rPr>
          <w:sz w:val="20"/>
        </w:rPr>
        <w:t>Najwyższe przedziały czynszów wywoławczych odnotowano w Trójmieście, Krakowie, Szczecinie i Wrocławiu. W najlepszych, centralnych lokalizacjach stawki za nowoczesne projekty mogą sięgać 19,25 EUR/m kw./mies. w Poznaniu oraz 17,75 EUR/m kw./mies. w Krakowie.</w:t>
      </w:r>
    </w:p>
    <w:p w14:paraId="1FD24775" w14:textId="4A93D15B" w:rsidR="00727C01" w:rsidRPr="00872434" w:rsidRDefault="00727C01" w:rsidP="00727C01">
      <w:pPr>
        <w:spacing w:after="160" w:line="257" w:lineRule="auto"/>
        <w:rPr>
          <w:rFonts w:eastAsiaTheme="minorEastAsia" w:cstheme="minorBidi"/>
          <w:sz w:val="22"/>
          <w:szCs w:val="22"/>
        </w:rPr>
      </w:pPr>
    </w:p>
    <w:p w14:paraId="28183634" w14:textId="77777777" w:rsidR="006047A4" w:rsidRPr="00872434" w:rsidRDefault="006047A4" w:rsidP="00FE0701">
      <w:pPr>
        <w:tabs>
          <w:tab w:val="left" w:pos="1267"/>
        </w:tabs>
        <w:jc w:val="left"/>
      </w:pPr>
    </w:p>
    <w:p w14:paraId="356FDEEF" w14:textId="4FEBEE3C" w:rsidR="00FE0701" w:rsidRPr="00872434" w:rsidRDefault="00567CD2" w:rsidP="00FE0701">
      <w:pPr>
        <w:tabs>
          <w:tab w:val="left" w:pos="1267"/>
        </w:tabs>
      </w:pPr>
      <w:r w:rsidRPr="00872434">
        <w:rPr>
          <w:noProof/>
        </w:rPr>
        <w:drawing>
          <wp:inline distT="0" distB="0" distL="0" distR="0" wp14:anchorId="2106A3A7" wp14:editId="244F34CE">
            <wp:extent cx="6479540" cy="2473325"/>
            <wp:effectExtent l="0" t="0" r="0" b="3175"/>
            <wp:docPr id="1641708610" name="Obraz 5" descr="Grupa 11, Obiekt zgrupowany">
              <a:extLst xmlns:a="http://schemas.openxmlformats.org/drawingml/2006/main">
                <a:ext uri="{FF2B5EF4-FFF2-40B4-BE49-F238E27FC236}">
                  <a16:creationId xmlns:a16="http://schemas.microsoft.com/office/drawing/2014/main" id="{4D7D9AF1-4EDD-4536-ACE0-C97C70DFDB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a 11, Obiekt zgrupowan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9540" cy="2473325"/>
                    </a:xfrm>
                    <a:prstGeom prst="rect">
                      <a:avLst/>
                    </a:prstGeom>
                    <a:noFill/>
                    <a:ln>
                      <a:noFill/>
                    </a:ln>
                  </pic:spPr>
                </pic:pic>
              </a:graphicData>
            </a:graphic>
          </wp:inline>
        </w:drawing>
      </w:r>
    </w:p>
    <w:p w14:paraId="61E45FB8" w14:textId="73C46B00" w:rsidR="00FE0701" w:rsidRPr="00872434" w:rsidRDefault="00FE0701" w:rsidP="00FE0701">
      <w:pPr>
        <w:autoSpaceDE w:val="0"/>
        <w:autoSpaceDN w:val="0"/>
        <w:adjustRightInd w:val="0"/>
        <w:rPr>
          <w:rFonts w:ascii="Arial" w:hAnsi="Arial" w:cs="Arial"/>
          <w:sz w:val="16"/>
          <w:szCs w:val="16"/>
        </w:rPr>
      </w:pPr>
      <w:r w:rsidRPr="00872434">
        <w:rPr>
          <w:rFonts w:ascii="Arial" w:hAnsi="Arial"/>
          <w:color w:val="808080" w:themeColor="background1" w:themeShade="80"/>
          <w:sz w:val="16"/>
          <w:szCs w:val="16"/>
        </w:rPr>
        <w:t xml:space="preserve"> </w:t>
      </w:r>
    </w:p>
    <w:p w14:paraId="7F44C005" w14:textId="4F4FC201" w:rsidR="64264102" w:rsidRPr="00872434" w:rsidRDefault="64264102" w:rsidP="64264102">
      <w:pPr>
        <w:rPr>
          <w:rFonts w:ascii="Arial" w:hAnsi="Arial"/>
          <w:color w:val="808080" w:themeColor="background1" w:themeShade="80"/>
          <w:sz w:val="16"/>
          <w:szCs w:val="16"/>
        </w:rPr>
      </w:pPr>
    </w:p>
    <w:p w14:paraId="2C4E4247" w14:textId="52B45123" w:rsidR="0A9CE36C" w:rsidRDefault="0053599A" w:rsidP="0A9CE36C">
      <w:pPr>
        <w:spacing w:after="160" w:line="257" w:lineRule="auto"/>
        <w:rPr>
          <w:rFonts w:eastAsiaTheme="minorEastAsia" w:cstheme="minorBidi"/>
          <w:sz w:val="22"/>
          <w:szCs w:val="22"/>
        </w:rPr>
      </w:pPr>
      <w:r w:rsidRPr="00872434">
        <w:rPr>
          <w:noProof/>
        </w:rPr>
        <w:drawing>
          <wp:inline distT="0" distB="0" distL="0" distR="0" wp14:anchorId="3FB76751" wp14:editId="4353D667">
            <wp:extent cx="6479540" cy="637540"/>
            <wp:effectExtent l="0" t="0" r="0" b="0"/>
            <wp:docPr id="40916862" name="Obraz 6" descr="Rectangle 19, Pole tekstowe">
              <a:extLst xmlns:a="http://schemas.openxmlformats.org/drawingml/2006/main">
                <a:ext uri="{FF2B5EF4-FFF2-40B4-BE49-F238E27FC236}">
                  <a16:creationId xmlns:a16="http://schemas.microsoft.com/office/drawing/2014/main" id="{1D1DCD09-C99A-4A5B-90EA-E77BA6892C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ctangle 19, Pole tekstow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9540" cy="637540"/>
                    </a:xfrm>
                    <a:prstGeom prst="rect">
                      <a:avLst/>
                    </a:prstGeom>
                    <a:noFill/>
                    <a:ln>
                      <a:noFill/>
                    </a:ln>
                  </pic:spPr>
                </pic:pic>
              </a:graphicData>
            </a:graphic>
          </wp:inline>
        </w:drawing>
      </w:r>
    </w:p>
    <w:sectPr w:rsidR="0A9CE36C" w:rsidSect="00543036">
      <w:footerReference w:type="default" r:id="rId13"/>
      <w:pgSz w:w="11906" w:h="16838" w:code="9"/>
      <w:pgMar w:top="709" w:right="851" w:bottom="1276" w:left="851" w:header="0" w:footer="14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2753B" w14:textId="77777777" w:rsidR="0057304A" w:rsidRPr="00872434" w:rsidRDefault="0057304A" w:rsidP="008C4C01">
      <w:r w:rsidRPr="00872434">
        <w:separator/>
      </w:r>
    </w:p>
  </w:endnote>
  <w:endnote w:type="continuationSeparator" w:id="0">
    <w:p w14:paraId="1739ED18" w14:textId="77777777" w:rsidR="0057304A" w:rsidRPr="00872434" w:rsidRDefault="0057304A" w:rsidP="008C4C01">
      <w:r w:rsidRPr="00872434">
        <w:continuationSeparator/>
      </w:r>
    </w:p>
  </w:endnote>
  <w:endnote w:type="continuationNotice" w:id="1">
    <w:p w14:paraId="2FB8F575" w14:textId="77777777" w:rsidR="0057304A" w:rsidRPr="00872434" w:rsidRDefault="005730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00"/>
    <w:family w:val="swiss"/>
    <w:pitch w:val="variable"/>
    <w:sig w:usb0="E4002EFF" w:usb1="C000E47F" w:usb2="00000009" w:usb3="00000000" w:csb0="000001FF" w:csb1="00000000"/>
  </w:font>
  <w:font w:name="Helvetica 45 Light">
    <w:altName w:val="Courier New"/>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0192D" w14:textId="5714ED88" w:rsidR="007638F5" w:rsidRPr="00872434" w:rsidRDefault="007638F5" w:rsidP="0068738D">
    <w:r w:rsidRPr="00872434">
      <w:rPr>
        <w:noProof/>
        <w:lang w:eastAsia="ja-JP"/>
      </w:rPr>
      <w:drawing>
        <wp:anchor distT="0" distB="0" distL="114300" distR="114300" simplePos="0" relativeHeight="251658243" behindDoc="0" locked="0" layoutInCell="1" allowOverlap="1" wp14:anchorId="2B9A4DCE" wp14:editId="59A79FD7">
          <wp:simplePos x="0" y="0"/>
          <wp:positionH relativeFrom="column">
            <wp:posOffset>5357495</wp:posOffset>
          </wp:positionH>
          <wp:positionV relativeFrom="paragraph">
            <wp:posOffset>154305</wp:posOffset>
          </wp:positionV>
          <wp:extent cx="1123950" cy="862965"/>
          <wp:effectExtent l="0" t="0" r="0" b="0"/>
          <wp:wrapSquare wrapText="bothSides"/>
          <wp:docPr id="14" name="Image 24">
            <a:extLst xmlns:a="http://schemas.openxmlformats.org/drawingml/2006/main">
              <a:ext uri="{FF2B5EF4-FFF2-40B4-BE49-F238E27FC236}">
                <a16:creationId xmlns:a16="http://schemas.microsoft.com/office/drawing/2014/main" id="{FC4E2F26-8A1A-49B1-83B4-C77581375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dition Publicité\Ericka\CHARTE 2015\CHARTE\BNPP_Sign_FR_IMMO\BNPP_Sign_FR3_3l.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2560" r="11044" b="-3218"/>
                  <a:stretch/>
                </pic:blipFill>
                <pic:spPr bwMode="auto">
                  <a:xfrm>
                    <a:off x="0" y="0"/>
                    <a:ext cx="1123950" cy="862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72434">
      <w:rPr>
        <w:noProof/>
        <w:lang w:eastAsia="ja-JP"/>
      </w:rPr>
      <w:drawing>
        <wp:anchor distT="0" distB="0" distL="114300" distR="114300" simplePos="0" relativeHeight="251658242" behindDoc="0" locked="0" layoutInCell="1" allowOverlap="1" wp14:anchorId="0EABEA4D" wp14:editId="744854BA">
          <wp:simplePos x="0" y="0"/>
          <wp:positionH relativeFrom="column">
            <wp:posOffset>-635</wp:posOffset>
          </wp:positionH>
          <wp:positionV relativeFrom="paragraph">
            <wp:posOffset>308610</wp:posOffset>
          </wp:positionV>
          <wp:extent cx="2632075" cy="498475"/>
          <wp:effectExtent l="0" t="0" r="0" b="0"/>
          <wp:wrapSquare wrapText="bothSides"/>
          <wp:docPr id="15" name="Image 15" descr="K:\Edition Publicité\Ericka\CHARTE 2015\CHARTE\RE_BL_E_Q\RE_BL_E_Q.jpg">
            <a:extLst xmlns:a="http://schemas.openxmlformats.org/drawingml/2006/main">
              <a:ext uri="{FF2B5EF4-FFF2-40B4-BE49-F238E27FC236}">
                <a16:creationId xmlns:a16="http://schemas.microsoft.com/office/drawing/2014/main" id="{6544A13F-1900-4962-B4FC-87AAB04E5A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dition Publicité\Ericka\CHARTE 2015\CHARTE\RE_BL_E_Q\RE_BL_E_Q.jpg"/>
                  <pic:cNvPicPr>
                    <a:picLocks noChangeAspect="1" noChangeArrowheads="1"/>
                  </pic:cNvPicPr>
                </pic:nvPicPr>
                <pic:blipFill rotWithShape="1">
                  <a:blip r:embed="rId2">
                    <a:extLst>
                      <a:ext uri="{28A0092B-C50C-407E-A947-70E740481C1C}">
                        <a14:useLocalDpi xmlns:a14="http://schemas.microsoft.com/office/drawing/2010/main" val="0"/>
                      </a:ext>
                    </a:extLst>
                  </a:blip>
                  <a:srcRect l="5102" t="16953" b="19011"/>
                  <a:stretch/>
                </pic:blipFill>
                <pic:spPr bwMode="auto">
                  <a:xfrm>
                    <a:off x="0" y="0"/>
                    <a:ext cx="2632075" cy="498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3D41" w:rsidRPr="00872434">
      <w:rPr>
        <w:noProof/>
        <w:lang w:eastAsia="ja-JP"/>
      </w:rPr>
      <w:drawing>
        <wp:anchor distT="0" distB="0" distL="114300" distR="114300" simplePos="0" relativeHeight="251658241" behindDoc="0" locked="0" layoutInCell="1" allowOverlap="1" wp14:anchorId="52E344C8" wp14:editId="630C9777">
          <wp:simplePos x="0" y="0"/>
          <wp:positionH relativeFrom="column">
            <wp:posOffset>5357495</wp:posOffset>
          </wp:positionH>
          <wp:positionV relativeFrom="paragraph">
            <wp:posOffset>154305</wp:posOffset>
          </wp:positionV>
          <wp:extent cx="1123950" cy="862965"/>
          <wp:effectExtent l="0" t="0" r="0" b="0"/>
          <wp:wrapSquare wrapText="bothSides"/>
          <wp:docPr id="1202294258" name="Image 24">
            <a:extLst xmlns:a="http://schemas.openxmlformats.org/drawingml/2006/main">
              <a:ext uri="{FF2B5EF4-FFF2-40B4-BE49-F238E27FC236}">
                <a16:creationId xmlns:a16="http://schemas.microsoft.com/office/drawing/2014/main" id="{B854C058-7AEA-4238-ADE2-47672CF159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dition Publicité\Ericka\CHARTE 2015\CHARTE\BNPP_Sign_FR_IMMO\BNPP_Sign_FR3_3l.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2560" r="11044" b="-3218"/>
                  <a:stretch/>
                </pic:blipFill>
                <pic:spPr bwMode="auto">
                  <a:xfrm>
                    <a:off x="0" y="0"/>
                    <a:ext cx="1123950" cy="862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74CD" w:rsidRPr="00872434">
      <w:rPr>
        <w:noProof/>
        <w:lang w:eastAsia="ja-JP"/>
      </w:rPr>
      <w:drawing>
        <wp:anchor distT="0" distB="0" distL="114300" distR="114300" simplePos="0" relativeHeight="251658240" behindDoc="0" locked="0" layoutInCell="1" allowOverlap="1" wp14:anchorId="6DAF911E" wp14:editId="322B6899">
          <wp:simplePos x="0" y="0"/>
          <wp:positionH relativeFrom="column">
            <wp:posOffset>-635</wp:posOffset>
          </wp:positionH>
          <wp:positionV relativeFrom="paragraph">
            <wp:posOffset>308610</wp:posOffset>
          </wp:positionV>
          <wp:extent cx="2632075" cy="498475"/>
          <wp:effectExtent l="0" t="0" r="0" b="0"/>
          <wp:wrapSquare wrapText="bothSides"/>
          <wp:docPr id="1649724900" name="Image 15" descr="K:\Edition Publicité\Ericka\CHARTE 2015\CHARTE\RE_BL_E_Q\RE_BL_E_Q.jpg">
            <a:extLst xmlns:a="http://schemas.openxmlformats.org/drawingml/2006/main">
              <a:ext uri="{FF2B5EF4-FFF2-40B4-BE49-F238E27FC236}">
                <a16:creationId xmlns:a16="http://schemas.microsoft.com/office/drawing/2014/main" id="{695BDE5D-E363-476B-BA10-C14E6D1320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dition Publicité\Ericka\CHARTE 2015\CHARTE\RE_BL_E_Q\RE_BL_E_Q.jpg"/>
                  <pic:cNvPicPr>
                    <a:picLocks noChangeAspect="1" noChangeArrowheads="1"/>
                  </pic:cNvPicPr>
                </pic:nvPicPr>
                <pic:blipFill rotWithShape="1">
                  <a:blip r:embed="rId2">
                    <a:extLst>
                      <a:ext uri="{28A0092B-C50C-407E-A947-70E740481C1C}">
                        <a14:useLocalDpi xmlns:a14="http://schemas.microsoft.com/office/drawing/2010/main" val="0"/>
                      </a:ext>
                    </a:extLst>
                  </a:blip>
                  <a:srcRect l="5102" t="16953" b="19011"/>
                  <a:stretch/>
                </pic:blipFill>
                <pic:spPr bwMode="auto">
                  <a:xfrm>
                    <a:off x="0" y="0"/>
                    <a:ext cx="2632075" cy="498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ACFB5" w14:textId="77777777" w:rsidR="0057304A" w:rsidRPr="00872434" w:rsidRDefault="0057304A" w:rsidP="008C4C01">
      <w:r w:rsidRPr="00872434">
        <w:separator/>
      </w:r>
    </w:p>
  </w:footnote>
  <w:footnote w:type="continuationSeparator" w:id="0">
    <w:p w14:paraId="760C1C97" w14:textId="77777777" w:rsidR="0057304A" w:rsidRPr="00872434" w:rsidRDefault="0057304A" w:rsidP="008C4C01">
      <w:r w:rsidRPr="00872434">
        <w:continuationSeparator/>
      </w:r>
    </w:p>
  </w:footnote>
  <w:footnote w:type="continuationNotice" w:id="1">
    <w:p w14:paraId="44E3AC78" w14:textId="77777777" w:rsidR="0057304A" w:rsidRPr="00872434" w:rsidRDefault="0057304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7397A"/>
    <w:multiLevelType w:val="hybridMultilevel"/>
    <w:tmpl w:val="995A86B6"/>
    <w:lvl w:ilvl="0" w:tplc="9356B4BA">
      <w:start w:val="1"/>
      <w:numFmt w:val="bullet"/>
      <w:lvlText w:val="•"/>
      <w:lvlJc w:val="left"/>
      <w:pPr>
        <w:tabs>
          <w:tab w:val="num" w:pos="720"/>
        </w:tabs>
        <w:ind w:left="720" w:hanging="360"/>
      </w:pPr>
      <w:rPr>
        <w:rFonts w:ascii="Arial" w:hAnsi="Arial" w:hint="default"/>
      </w:rPr>
    </w:lvl>
    <w:lvl w:ilvl="1" w:tplc="D33AFB74" w:tentative="1">
      <w:start w:val="1"/>
      <w:numFmt w:val="bullet"/>
      <w:lvlText w:val="•"/>
      <w:lvlJc w:val="left"/>
      <w:pPr>
        <w:tabs>
          <w:tab w:val="num" w:pos="1440"/>
        </w:tabs>
        <w:ind w:left="1440" w:hanging="360"/>
      </w:pPr>
      <w:rPr>
        <w:rFonts w:ascii="Arial" w:hAnsi="Arial" w:hint="default"/>
      </w:rPr>
    </w:lvl>
    <w:lvl w:ilvl="2" w:tplc="52E0C15C" w:tentative="1">
      <w:start w:val="1"/>
      <w:numFmt w:val="bullet"/>
      <w:lvlText w:val="•"/>
      <w:lvlJc w:val="left"/>
      <w:pPr>
        <w:tabs>
          <w:tab w:val="num" w:pos="2160"/>
        </w:tabs>
        <w:ind w:left="2160" w:hanging="360"/>
      </w:pPr>
      <w:rPr>
        <w:rFonts w:ascii="Arial" w:hAnsi="Arial" w:hint="default"/>
      </w:rPr>
    </w:lvl>
    <w:lvl w:ilvl="3" w:tplc="81EA5A52" w:tentative="1">
      <w:start w:val="1"/>
      <w:numFmt w:val="bullet"/>
      <w:lvlText w:val="•"/>
      <w:lvlJc w:val="left"/>
      <w:pPr>
        <w:tabs>
          <w:tab w:val="num" w:pos="2880"/>
        </w:tabs>
        <w:ind w:left="2880" w:hanging="360"/>
      </w:pPr>
      <w:rPr>
        <w:rFonts w:ascii="Arial" w:hAnsi="Arial" w:hint="default"/>
      </w:rPr>
    </w:lvl>
    <w:lvl w:ilvl="4" w:tplc="8286C752" w:tentative="1">
      <w:start w:val="1"/>
      <w:numFmt w:val="bullet"/>
      <w:lvlText w:val="•"/>
      <w:lvlJc w:val="left"/>
      <w:pPr>
        <w:tabs>
          <w:tab w:val="num" w:pos="3600"/>
        </w:tabs>
        <w:ind w:left="3600" w:hanging="360"/>
      </w:pPr>
      <w:rPr>
        <w:rFonts w:ascii="Arial" w:hAnsi="Arial" w:hint="default"/>
      </w:rPr>
    </w:lvl>
    <w:lvl w:ilvl="5" w:tplc="3D72D328" w:tentative="1">
      <w:start w:val="1"/>
      <w:numFmt w:val="bullet"/>
      <w:lvlText w:val="•"/>
      <w:lvlJc w:val="left"/>
      <w:pPr>
        <w:tabs>
          <w:tab w:val="num" w:pos="4320"/>
        </w:tabs>
        <w:ind w:left="4320" w:hanging="360"/>
      </w:pPr>
      <w:rPr>
        <w:rFonts w:ascii="Arial" w:hAnsi="Arial" w:hint="default"/>
      </w:rPr>
    </w:lvl>
    <w:lvl w:ilvl="6" w:tplc="42646D2C" w:tentative="1">
      <w:start w:val="1"/>
      <w:numFmt w:val="bullet"/>
      <w:lvlText w:val="•"/>
      <w:lvlJc w:val="left"/>
      <w:pPr>
        <w:tabs>
          <w:tab w:val="num" w:pos="5040"/>
        </w:tabs>
        <w:ind w:left="5040" w:hanging="360"/>
      </w:pPr>
      <w:rPr>
        <w:rFonts w:ascii="Arial" w:hAnsi="Arial" w:hint="default"/>
      </w:rPr>
    </w:lvl>
    <w:lvl w:ilvl="7" w:tplc="B4F25402" w:tentative="1">
      <w:start w:val="1"/>
      <w:numFmt w:val="bullet"/>
      <w:lvlText w:val="•"/>
      <w:lvlJc w:val="left"/>
      <w:pPr>
        <w:tabs>
          <w:tab w:val="num" w:pos="5760"/>
        </w:tabs>
        <w:ind w:left="5760" w:hanging="360"/>
      </w:pPr>
      <w:rPr>
        <w:rFonts w:ascii="Arial" w:hAnsi="Arial" w:hint="default"/>
      </w:rPr>
    </w:lvl>
    <w:lvl w:ilvl="8" w:tplc="6BA4132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076FCE"/>
    <w:multiLevelType w:val="hybridMultilevel"/>
    <w:tmpl w:val="4B741FD8"/>
    <w:lvl w:ilvl="0" w:tplc="E820AEAC">
      <w:start w:val="1"/>
      <w:numFmt w:val="bullet"/>
      <w:lvlText w:val="-"/>
      <w:lvlJc w:val="left"/>
      <w:pPr>
        <w:ind w:left="720" w:hanging="360"/>
      </w:pPr>
      <w:rPr>
        <w:rFonts w:ascii="Aptos" w:hAnsi="Aptos" w:hint="default"/>
      </w:rPr>
    </w:lvl>
    <w:lvl w:ilvl="1" w:tplc="98D6DE00">
      <w:start w:val="1"/>
      <w:numFmt w:val="bullet"/>
      <w:lvlText w:val="o"/>
      <w:lvlJc w:val="left"/>
      <w:pPr>
        <w:ind w:left="1440" w:hanging="360"/>
      </w:pPr>
      <w:rPr>
        <w:rFonts w:ascii="Courier New" w:hAnsi="Courier New" w:hint="default"/>
      </w:rPr>
    </w:lvl>
    <w:lvl w:ilvl="2" w:tplc="5C103AD4">
      <w:start w:val="1"/>
      <w:numFmt w:val="bullet"/>
      <w:lvlText w:val=""/>
      <w:lvlJc w:val="left"/>
      <w:pPr>
        <w:ind w:left="2160" w:hanging="360"/>
      </w:pPr>
      <w:rPr>
        <w:rFonts w:ascii="Wingdings" w:hAnsi="Wingdings" w:hint="default"/>
      </w:rPr>
    </w:lvl>
    <w:lvl w:ilvl="3" w:tplc="649C1782">
      <w:start w:val="1"/>
      <w:numFmt w:val="bullet"/>
      <w:lvlText w:val=""/>
      <w:lvlJc w:val="left"/>
      <w:pPr>
        <w:ind w:left="2880" w:hanging="360"/>
      </w:pPr>
      <w:rPr>
        <w:rFonts w:ascii="Symbol" w:hAnsi="Symbol" w:hint="default"/>
      </w:rPr>
    </w:lvl>
    <w:lvl w:ilvl="4" w:tplc="5DA4CB06">
      <w:start w:val="1"/>
      <w:numFmt w:val="bullet"/>
      <w:lvlText w:val="o"/>
      <w:lvlJc w:val="left"/>
      <w:pPr>
        <w:ind w:left="3600" w:hanging="360"/>
      </w:pPr>
      <w:rPr>
        <w:rFonts w:ascii="Courier New" w:hAnsi="Courier New" w:hint="default"/>
      </w:rPr>
    </w:lvl>
    <w:lvl w:ilvl="5" w:tplc="1980CCD4">
      <w:start w:val="1"/>
      <w:numFmt w:val="bullet"/>
      <w:lvlText w:val=""/>
      <w:lvlJc w:val="left"/>
      <w:pPr>
        <w:ind w:left="4320" w:hanging="360"/>
      </w:pPr>
      <w:rPr>
        <w:rFonts w:ascii="Wingdings" w:hAnsi="Wingdings" w:hint="default"/>
      </w:rPr>
    </w:lvl>
    <w:lvl w:ilvl="6" w:tplc="79FE7D62">
      <w:start w:val="1"/>
      <w:numFmt w:val="bullet"/>
      <w:lvlText w:val=""/>
      <w:lvlJc w:val="left"/>
      <w:pPr>
        <w:ind w:left="5040" w:hanging="360"/>
      </w:pPr>
      <w:rPr>
        <w:rFonts w:ascii="Symbol" w:hAnsi="Symbol" w:hint="default"/>
      </w:rPr>
    </w:lvl>
    <w:lvl w:ilvl="7" w:tplc="9FBA2D80">
      <w:start w:val="1"/>
      <w:numFmt w:val="bullet"/>
      <w:lvlText w:val="o"/>
      <w:lvlJc w:val="left"/>
      <w:pPr>
        <w:ind w:left="5760" w:hanging="360"/>
      </w:pPr>
      <w:rPr>
        <w:rFonts w:ascii="Courier New" w:hAnsi="Courier New" w:hint="default"/>
      </w:rPr>
    </w:lvl>
    <w:lvl w:ilvl="8" w:tplc="D33E88F6">
      <w:start w:val="1"/>
      <w:numFmt w:val="bullet"/>
      <w:lvlText w:val=""/>
      <w:lvlJc w:val="left"/>
      <w:pPr>
        <w:ind w:left="6480" w:hanging="360"/>
      </w:pPr>
      <w:rPr>
        <w:rFonts w:ascii="Wingdings" w:hAnsi="Wingdings" w:hint="default"/>
      </w:rPr>
    </w:lvl>
  </w:abstractNum>
  <w:abstractNum w:abstractNumId="2" w15:restartNumberingAfterBreak="0">
    <w:nsid w:val="0B6C592C"/>
    <w:multiLevelType w:val="hybridMultilevel"/>
    <w:tmpl w:val="7F402908"/>
    <w:lvl w:ilvl="0" w:tplc="7A00B08A">
      <w:start w:val="1"/>
      <w:numFmt w:val="bullet"/>
      <w:lvlText w:val="•"/>
      <w:lvlJc w:val="left"/>
      <w:pPr>
        <w:tabs>
          <w:tab w:val="num" w:pos="720"/>
        </w:tabs>
        <w:ind w:left="720" w:hanging="360"/>
      </w:pPr>
      <w:rPr>
        <w:rFonts w:ascii="Arial" w:hAnsi="Arial" w:hint="default"/>
      </w:rPr>
    </w:lvl>
    <w:lvl w:ilvl="1" w:tplc="3404D690" w:tentative="1">
      <w:start w:val="1"/>
      <w:numFmt w:val="bullet"/>
      <w:lvlText w:val="•"/>
      <w:lvlJc w:val="left"/>
      <w:pPr>
        <w:tabs>
          <w:tab w:val="num" w:pos="1440"/>
        </w:tabs>
        <w:ind w:left="1440" w:hanging="360"/>
      </w:pPr>
      <w:rPr>
        <w:rFonts w:ascii="Arial" w:hAnsi="Arial" w:hint="default"/>
      </w:rPr>
    </w:lvl>
    <w:lvl w:ilvl="2" w:tplc="FB4E7C7C" w:tentative="1">
      <w:start w:val="1"/>
      <w:numFmt w:val="bullet"/>
      <w:lvlText w:val="•"/>
      <w:lvlJc w:val="left"/>
      <w:pPr>
        <w:tabs>
          <w:tab w:val="num" w:pos="2160"/>
        </w:tabs>
        <w:ind w:left="2160" w:hanging="360"/>
      </w:pPr>
      <w:rPr>
        <w:rFonts w:ascii="Arial" w:hAnsi="Arial" w:hint="default"/>
      </w:rPr>
    </w:lvl>
    <w:lvl w:ilvl="3" w:tplc="1EBE9EAA" w:tentative="1">
      <w:start w:val="1"/>
      <w:numFmt w:val="bullet"/>
      <w:lvlText w:val="•"/>
      <w:lvlJc w:val="left"/>
      <w:pPr>
        <w:tabs>
          <w:tab w:val="num" w:pos="2880"/>
        </w:tabs>
        <w:ind w:left="2880" w:hanging="360"/>
      </w:pPr>
      <w:rPr>
        <w:rFonts w:ascii="Arial" w:hAnsi="Arial" w:hint="default"/>
      </w:rPr>
    </w:lvl>
    <w:lvl w:ilvl="4" w:tplc="5926790A" w:tentative="1">
      <w:start w:val="1"/>
      <w:numFmt w:val="bullet"/>
      <w:lvlText w:val="•"/>
      <w:lvlJc w:val="left"/>
      <w:pPr>
        <w:tabs>
          <w:tab w:val="num" w:pos="3600"/>
        </w:tabs>
        <w:ind w:left="3600" w:hanging="360"/>
      </w:pPr>
      <w:rPr>
        <w:rFonts w:ascii="Arial" w:hAnsi="Arial" w:hint="default"/>
      </w:rPr>
    </w:lvl>
    <w:lvl w:ilvl="5" w:tplc="D20A7BD4" w:tentative="1">
      <w:start w:val="1"/>
      <w:numFmt w:val="bullet"/>
      <w:lvlText w:val="•"/>
      <w:lvlJc w:val="left"/>
      <w:pPr>
        <w:tabs>
          <w:tab w:val="num" w:pos="4320"/>
        </w:tabs>
        <w:ind w:left="4320" w:hanging="360"/>
      </w:pPr>
      <w:rPr>
        <w:rFonts w:ascii="Arial" w:hAnsi="Arial" w:hint="default"/>
      </w:rPr>
    </w:lvl>
    <w:lvl w:ilvl="6" w:tplc="10D4DBD0" w:tentative="1">
      <w:start w:val="1"/>
      <w:numFmt w:val="bullet"/>
      <w:lvlText w:val="•"/>
      <w:lvlJc w:val="left"/>
      <w:pPr>
        <w:tabs>
          <w:tab w:val="num" w:pos="5040"/>
        </w:tabs>
        <w:ind w:left="5040" w:hanging="360"/>
      </w:pPr>
      <w:rPr>
        <w:rFonts w:ascii="Arial" w:hAnsi="Arial" w:hint="default"/>
      </w:rPr>
    </w:lvl>
    <w:lvl w:ilvl="7" w:tplc="5672E91C" w:tentative="1">
      <w:start w:val="1"/>
      <w:numFmt w:val="bullet"/>
      <w:lvlText w:val="•"/>
      <w:lvlJc w:val="left"/>
      <w:pPr>
        <w:tabs>
          <w:tab w:val="num" w:pos="5760"/>
        </w:tabs>
        <w:ind w:left="5760" w:hanging="360"/>
      </w:pPr>
      <w:rPr>
        <w:rFonts w:ascii="Arial" w:hAnsi="Arial" w:hint="default"/>
      </w:rPr>
    </w:lvl>
    <w:lvl w:ilvl="8" w:tplc="8F5A11C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313783"/>
    <w:multiLevelType w:val="hybridMultilevel"/>
    <w:tmpl w:val="ACEC53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92ADC67"/>
    <w:multiLevelType w:val="hybridMultilevel"/>
    <w:tmpl w:val="97EA993E"/>
    <w:lvl w:ilvl="0" w:tplc="67F8FF94">
      <w:start w:val="1"/>
      <w:numFmt w:val="bullet"/>
      <w:lvlText w:val="-"/>
      <w:lvlJc w:val="left"/>
      <w:pPr>
        <w:ind w:left="720" w:hanging="360"/>
      </w:pPr>
      <w:rPr>
        <w:rFonts w:ascii="Aptos" w:hAnsi="Aptos" w:hint="default"/>
      </w:rPr>
    </w:lvl>
    <w:lvl w:ilvl="1" w:tplc="62723C22">
      <w:start w:val="1"/>
      <w:numFmt w:val="bullet"/>
      <w:lvlText w:val="o"/>
      <w:lvlJc w:val="left"/>
      <w:pPr>
        <w:ind w:left="1440" w:hanging="360"/>
      </w:pPr>
      <w:rPr>
        <w:rFonts w:ascii="Courier New" w:hAnsi="Courier New" w:hint="default"/>
      </w:rPr>
    </w:lvl>
    <w:lvl w:ilvl="2" w:tplc="6AD018FC">
      <w:start w:val="1"/>
      <w:numFmt w:val="bullet"/>
      <w:lvlText w:val=""/>
      <w:lvlJc w:val="left"/>
      <w:pPr>
        <w:ind w:left="2160" w:hanging="360"/>
      </w:pPr>
      <w:rPr>
        <w:rFonts w:ascii="Wingdings" w:hAnsi="Wingdings" w:hint="default"/>
      </w:rPr>
    </w:lvl>
    <w:lvl w:ilvl="3" w:tplc="D43484E8">
      <w:start w:val="1"/>
      <w:numFmt w:val="bullet"/>
      <w:lvlText w:val=""/>
      <w:lvlJc w:val="left"/>
      <w:pPr>
        <w:ind w:left="2880" w:hanging="360"/>
      </w:pPr>
      <w:rPr>
        <w:rFonts w:ascii="Symbol" w:hAnsi="Symbol" w:hint="default"/>
      </w:rPr>
    </w:lvl>
    <w:lvl w:ilvl="4" w:tplc="3DA2D4A6">
      <w:start w:val="1"/>
      <w:numFmt w:val="bullet"/>
      <w:lvlText w:val="o"/>
      <w:lvlJc w:val="left"/>
      <w:pPr>
        <w:ind w:left="3600" w:hanging="360"/>
      </w:pPr>
      <w:rPr>
        <w:rFonts w:ascii="Courier New" w:hAnsi="Courier New" w:hint="default"/>
      </w:rPr>
    </w:lvl>
    <w:lvl w:ilvl="5" w:tplc="75C43F3E">
      <w:start w:val="1"/>
      <w:numFmt w:val="bullet"/>
      <w:lvlText w:val=""/>
      <w:lvlJc w:val="left"/>
      <w:pPr>
        <w:ind w:left="4320" w:hanging="360"/>
      </w:pPr>
      <w:rPr>
        <w:rFonts w:ascii="Wingdings" w:hAnsi="Wingdings" w:hint="default"/>
      </w:rPr>
    </w:lvl>
    <w:lvl w:ilvl="6" w:tplc="9F481438">
      <w:start w:val="1"/>
      <w:numFmt w:val="bullet"/>
      <w:lvlText w:val=""/>
      <w:lvlJc w:val="left"/>
      <w:pPr>
        <w:ind w:left="5040" w:hanging="360"/>
      </w:pPr>
      <w:rPr>
        <w:rFonts w:ascii="Symbol" w:hAnsi="Symbol" w:hint="default"/>
      </w:rPr>
    </w:lvl>
    <w:lvl w:ilvl="7" w:tplc="15665108">
      <w:start w:val="1"/>
      <w:numFmt w:val="bullet"/>
      <w:lvlText w:val="o"/>
      <w:lvlJc w:val="left"/>
      <w:pPr>
        <w:ind w:left="5760" w:hanging="360"/>
      </w:pPr>
      <w:rPr>
        <w:rFonts w:ascii="Courier New" w:hAnsi="Courier New" w:hint="default"/>
      </w:rPr>
    </w:lvl>
    <w:lvl w:ilvl="8" w:tplc="34ECD020">
      <w:start w:val="1"/>
      <w:numFmt w:val="bullet"/>
      <w:lvlText w:val=""/>
      <w:lvlJc w:val="left"/>
      <w:pPr>
        <w:ind w:left="6480" w:hanging="360"/>
      </w:pPr>
      <w:rPr>
        <w:rFonts w:ascii="Wingdings" w:hAnsi="Wingdings" w:hint="default"/>
      </w:rPr>
    </w:lvl>
  </w:abstractNum>
  <w:abstractNum w:abstractNumId="5" w15:restartNumberingAfterBreak="0">
    <w:nsid w:val="2AE26378"/>
    <w:multiLevelType w:val="hybridMultilevel"/>
    <w:tmpl w:val="79DC6536"/>
    <w:lvl w:ilvl="0" w:tplc="214A6322">
      <w:start w:val="1"/>
      <w:numFmt w:val="bullet"/>
      <w:lvlText w:val="•"/>
      <w:lvlJc w:val="left"/>
      <w:pPr>
        <w:tabs>
          <w:tab w:val="num" w:pos="720"/>
        </w:tabs>
        <w:ind w:left="720" w:hanging="360"/>
      </w:pPr>
      <w:rPr>
        <w:rFonts w:ascii="Arial" w:hAnsi="Arial" w:hint="default"/>
      </w:rPr>
    </w:lvl>
    <w:lvl w:ilvl="1" w:tplc="805A8D9E" w:tentative="1">
      <w:start w:val="1"/>
      <w:numFmt w:val="bullet"/>
      <w:lvlText w:val="•"/>
      <w:lvlJc w:val="left"/>
      <w:pPr>
        <w:tabs>
          <w:tab w:val="num" w:pos="1440"/>
        </w:tabs>
        <w:ind w:left="1440" w:hanging="360"/>
      </w:pPr>
      <w:rPr>
        <w:rFonts w:ascii="Arial" w:hAnsi="Arial" w:hint="default"/>
      </w:rPr>
    </w:lvl>
    <w:lvl w:ilvl="2" w:tplc="7F8A6C10" w:tentative="1">
      <w:start w:val="1"/>
      <w:numFmt w:val="bullet"/>
      <w:lvlText w:val="•"/>
      <w:lvlJc w:val="left"/>
      <w:pPr>
        <w:tabs>
          <w:tab w:val="num" w:pos="2160"/>
        </w:tabs>
        <w:ind w:left="2160" w:hanging="360"/>
      </w:pPr>
      <w:rPr>
        <w:rFonts w:ascii="Arial" w:hAnsi="Arial" w:hint="default"/>
      </w:rPr>
    </w:lvl>
    <w:lvl w:ilvl="3" w:tplc="09F07F18" w:tentative="1">
      <w:start w:val="1"/>
      <w:numFmt w:val="bullet"/>
      <w:lvlText w:val="•"/>
      <w:lvlJc w:val="left"/>
      <w:pPr>
        <w:tabs>
          <w:tab w:val="num" w:pos="2880"/>
        </w:tabs>
        <w:ind w:left="2880" w:hanging="360"/>
      </w:pPr>
      <w:rPr>
        <w:rFonts w:ascii="Arial" w:hAnsi="Arial" w:hint="default"/>
      </w:rPr>
    </w:lvl>
    <w:lvl w:ilvl="4" w:tplc="53C4EC7E" w:tentative="1">
      <w:start w:val="1"/>
      <w:numFmt w:val="bullet"/>
      <w:lvlText w:val="•"/>
      <w:lvlJc w:val="left"/>
      <w:pPr>
        <w:tabs>
          <w:tab w:val="num" w:pos="3600"/>
        </w:tabs>
        <w:ind w:left="3600" w:hanging="360"/>
      </w:pPr>
      <w:rPr>
        <w:rFonts w:ascii="Arial" w:hAnsi="Arial" w:hint="default"/>
      </w:rPr>
    </w:lvl>
    <w:lvl w:ilvl="5" w:tplc="1EB6A498" w:tentative="1">
      <w:start w:val="1"/>
      <w:numFmt w:val="bullet"/>
      <w:lvlText w:val="•"/>
      <w:lvlJc w:val="left"/>
      <w:pPr>
        <w:tabs>
          <w:tab w:val="num" w:pos="4320"/>
        </w:tabs>
        <w:ind w:left="4320" w:hanging="360"/>
      </w:pPr>
      <w:rPr>
        <w:rFonts w:ascii="Arial" w:hAnsi="Arial" w:hint="default"/>
      </w:rPr>
    </w:lvl>
    <w:lvl w:ilvl="6" w:tplc="CF84B034" w:tentative="1">
      <w:start w:val="1"/>
      <w:numFmt w:val="bullet"/>
      <w:lvlText w:val="•"/>
      <w:lvlJc w:val="left"/>
      <w:pPr>
        <w:tabs>
          <w:tab w:val="num" w:pos="5040"/>
        </w:tabs>
        <w:ind w:left="5040" w:hanging="360"/>
      </w:pPr>
      <w:rPr>
        <w:rFonts w:ascii="Arial" w:hAnsi="Arial" w:hint="default"/>
      </w:rPr>
    </w:lvl>
    <w:lvl w:ilvl="7" w:tplc="4F4226B8" w:tentative="1">
      <w:start w:val="1"/>
      <w:numFmt w:val="bullet"/>
      <w:lvlText w:val="•"/>
      <w:lvlJc w:val="left"/>
      <w:pPr>
        <w:tabs>
          <w:tab w:val="num" w:pos="5760"/>
        </w:tabs>
        <w:ind w:left="5760" w:hanging="360"/>
      </w:pPr>
      <w:rPr>
        <w:rFonts w:ascii="Arial" w:hAnsi="Arial" w:hint="default"/>
      </w:rPr>
    </w:lvl>
    <w:lvl w:ilvl="8" w:tplc="C5E0CA8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7DF2F65"/>
    <w:multiLevelType w:val="hybridMultilevel"/>
    <w:tmpl w:val="CB262E58"/>
    <w:lvl w:ilvl="0" w:tplc="3F0E5FE8">
      <w:start w:val="1"/>
      <w:numFmt w:val="bullet"/>
      <w:lvlText w:val="-"/>
      <w:lvlJc w:val="left"/>
      <w:pPr>
        <w:ind w:left="720" w:hanging="360"/>
      </w:pPr>
      <w:rPr>
        <w:rFonts w:ascii="Aptos" w:hAnsi="Aptos" w:hint="default"/>
      </w:rPr>
    </w:lvl>
    <w:lvl w:ilvl="1" w:tplc="E334D1F4">
      <w:start w:val="1"/>
      <w:numFmt w:val="bullet"/>
      <w:lvlText w:val="o"/>
      <w:lvlJc w:val="left"/>
      <w:pPr>
        <w:ind w:left="1440" w:hanging="360"/>
      </w:pPr>
      <w:rPr>
        <w:rFonts w:ascii="Courier New" w:hAnsi="Courier New" w:hint="default"/>
      </w:rPr>
    </w:lvl>
    <w:lvl w:ilvl="2" w:tplc="0F326818">
      <w:start w:val="1"/>
      <w:numFmt w:val="bullet"/>
      <w:lvlText w:val=""/>
      <w:lvlJc w:val="left"/>
      <w:pPr>
        <w:ind w:left="2160" w:hanging="360"/>
      </w:pPr>
      <w:rPr>
        <w:rFonts w:ascii="Wingdings" w:hAnsi="Wingdings" w:hint="default"/>
      </w:rPr>
    </w:lvl>
    <w:lvl w:ilvl="3" w:tplc="C8F012C2">
      <w:start w:val="1"/>
      <w:numFmt w:val="bullet"/>
      <w:lvlText w:val=""/>
      <w:lvlJc w:val="left"/>
      <w:pPr>
        <w:ind w:left="2880" w:hanging="360"/>
      </w:pPr>
      <w:rPr>
        <w:rFonts w:ascii="Symbol" w:hAnsi="Symbol" w:hint="default"/>
      </w:rPr>
    </w:lvl>
    <w:lvl w:ilvl="4" w:tplc="09D2227E">
      <w:start w:val="1"/>
      <w:numFmt w:val="bullet"/>
      <w:lvlText w:val="o"/>
      <w:lvlJc w:val="left"/>
      <w:pPr>
        <w:ind w:left="3600" w:hanging="360"/>
      </w:pPr>
      <w:rPr>
        <w:rFonts w:ascii="Courier New" w:hAnsi="Courier New" w:hint="default"/>
      </w:rPr>
    </w:lvl>
    <w:lvl w:ilvl="5" w:tplc="9B54576C">
      <w:start w:val="1"/>
      <w:numFmt w:val="bullet"/>
      <w:lvlText w:val=""/>
      <w:lvlJc w:val="left"/>
      <w:pPr>
        <w:ind w:left="4320" w:hanging="360"/>
      </w:pPr>
      <w:rPr>
        <w:rFonts w:ascii="Wingdings" w:hAnsi="Wingdings" w:hint="default"/>
      </w:rPr>
    </w:lvl>
    <w:lvl w:ilvl="6" w:tplc="1DFA4F00">
      <w:start w:val="1"/>
      <w:numFmt w:val="bullet"/>
      <w:lvlText w:val=""/>
      <w:lvlJc w:val="left"/>
      <w:pPr>
        <w:ind w:left="5040" w:hanging="360"/>
      </w:pPr>
      <w:rPr>
        <w:rFonts w:ascii="Symbol" w:hAnsi="Symbol" w:hint="default"/>
      </w:rPr>
    </w:lvl>
    <w:lvl w:ilvl="7" w:tplc="18DAD06E">
      <w:start w:val="1"/>
      <w:numFmt w:val="bullet"/>
      <w:lvlText w:val="o"/>
      <w:lvlJc w:val="left"/>
      <w:pPr>
        <w:ind w:left="5760" w:hanging="360"/>
      </w:pPr>
      <w:rPr>
        <w:rFonts w:ascii="Courier New" w:hAnsi="Courier New" w:hint="default"/>
      </w:rPr>
    </w:lvl>
    <w:lvl w:ilvl="8" w:tplc="82709422">
      <w:start w:val="1"/>
      <w:numFmt w:val="bullet"/>
      <w:lvlText w:val=""/>
      <w:lvlJc w:val="left"/>
      <w:pPr>
        <w:ind w:left="6480" w:hanging="360"/>
      </w:pPr>
      <w:rPr>
        <w:rFonts w:ascii="Wingdings" w:hAnsi="Wingdings" w:hint="default"/>
      </w:rPr>
    </w:lvl>
  </w:abstractNum>
  <w:abstractNum w:abstractNumId="7" w15:restartNumberingAfterBreak="0">
    <w:nsid w:val="4B07037B"/>
    <w:multiLevelType w:val="hybridMultilevel"/>
    <w:tmpl w:val="68CA694C"/>
    <w:lvl w:ilvl="0" w:tplc="07CEBEB6">
      <w:start w:val="1"/>
      <w:numFmt w:val="bullet"/>
      <w:lvlText w:val=""/>
      <w:lvlJc w:val="left"/>
      <w:pPr>
        <w:tabs>
          <w:tab w:val="num" w:pos="720"/>
        </w:tabs>
        <w:ind w:left="720" w:hanging="360"/>
      </w:pPr>
      <w:rPr>
        <w:rFonts w:ascii="Symbol" w:hAnsi="Symbol" w:hint="default"/>
      </w:rPr>
    </w:lvl>
    <w:lvl w:ilvl="1" w:tplc="EC564ABA" w:tentative="1">
      <w:start w:val="1"/>
      <w:numFmt w:val="bullet"/>
      <w:lvlText w:val=""/>
      <w:lvlJc w:val="left"/>
      <w:pPr>
        <w:tabs>
          <w:tab w:val="num" w:pos="1440"/>
        </w:tabs>
        <w:ind w:left="1440" w:hanging="360"/>
      </w:pPr>
      <w:rPr>
        <w:rFonts w:ascii="Symbol" w:hAnsi="Symbol" w:hint="default"/>
      </w:rPr>
    </w:lvl>
    <w:lvl w:ilvl="2" w:tplc="16948EFE" w:tentative="1">
      <w:start w:val="1"/>
      <w:numFmt w:val="bullet"/>
      <w:lvlText w:val=""/>
      <w:lvlJc w:val="left"/>
      <w:pPr>
        <w:tabs>
          <w:tab w:val="num" w:pos="2160"/>
        </w:tabs>
        <w:ind w:left="2160" w:hanging="360"/>
      </w:pPr>
      <w:rPr>
        <w:rFonts w:ascii="Symbol" w:hAnsi="Symbol" w:hint="default"/>
      </w:rPr>
    </w:lvl>
    <w:lvl w:ilvl="3" w:tplc="1A884254" w:tentative="1">
      <w:start w:val="1"/>
      <w:numFmt w:val="bullet"/>
      <w:lvlText w:val=""/>
      <w:lvlJc w:val="left"/>
      <w:pPr>
        <w:tabs>
          <w:tab w:val="num" w:pos="2880"/>
        </w:tabs>
        <w:ind w:left="2880" w:hanging="360"/>
      </w:pPr>
      <w:rPr>
        <w:rFonts w:ascii="Symbol" w:hAnsi="Symbol" w:hint="default"/>
      </w:rPr>
    </w:lvl>
    <w:lvl w:ilvl="4" w:tplc="DED8AFDA" w:tentative="1">
      <w:start w:val="1"/>
      <w:numFmt w:val="bullet"/>
      <w:lvlText w:val=""/>
      <w:lvlJc w:val="left"/>
      <w:pPr>
        <w:tabs>
          <w:tab w:val="num" w:pos="3600"/>
        </w:tabs>
        <w:ind w:left="3600" w:hanging="360"/>
      </w:pPr>
      <w:rPr>
        <w:rFonts w:ascii="Symbol" w:hAnsi="Symbol" w:hint="default"/>
      </w:rPr>
    </w:lvl>
    <w:lvl w:ilvl="5" w:tplc="E0B28864" w:tentative="1">
      <w:start w:val="1"/>
      <w:numFmt w:val="bullet"/>
      <w:lvlText w:val=""/>
      <w:lvlJc w:val="left"/>
      <w:pPr>
        <w:tabs>
          <w:tab w:val="num" w:pos="4320"/>
        </w:tabs>
        <w:ind w:left="4320" w:hanging="360"/>
      </w:pPr>
      <w:rPr>
        <w:rFonts w:ascii="Symbol" w:hAnsi="Symbol" w:hint="default"/>
      </w:rPr>
    </w:lvl>
    <w:lvl w:ilvl="6" w:tplc="02E2E694" w:tentative="1">
      <w:start w:val="1"/>
      <w:numFmt w:val="bullet"/>
      <w:lvlText w:val=""/>
      <w:lvlJc w:val="left"/>
      <w:pPr>
        <w:tabs>
          <w:tab w:val="num" w:pos="5040"/>
        </w:tabs>
        <w:ind w:left="5040" w:hanging="360"/>
      </w:pPr>
      <w:rPr>
        <w:rFonts w:ascii="Symbol" w:hAnsi="Symbol" w:hint="default"/>
      </w:rPr>
    </w:lvl>
    <w:lvl w:ilvl="7" w:tplc="78A862B8" w:tentative="1">
      <w:start w:val="1"/>
      <w:numFmt w:val="bullet"/>
      <w:lvlText w:val=""/>
      <w:lvlJc w:val="left"/>
      <w:pPr>
        <w:tabs>
          <w:tab w:val="num" w:pos="5760"/>
        </w:tabs>
        <w:ind w:left="5760" w:hanging="360"/>
      </w:pPr>
      <w:rPr>
        <w:rFonts w:ascii="Symbol" w:hAnsi="Symbol" w:hint="default"/>
      </w:rPr>
    </w:lvl>
    <w:lvl w:ilvl="8" w:tplc="9AF6490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EDCBC01"/>
    <w:multiLevelType w:val="hybridMultilevel"/>
    <w:tmpl w:val="96D87210"/>
    <w:lvl w:ilvl="0" w:tplc="4FCE09E8">
      <w:start w:val="1"/>
      <w:numFmt w:val="bullet"/>
      <w:lvlText w:val="-"/>
      <w:lvlJc w:val="left"/>
      <w:pPr>
        <w:ind w:left="720" w:hanging="360"/>
      </w:pPr>
      <w:rPr>
        <w:rFonts w:ascii="Aptos" w:hAnsi="Aptos" w:hint="default"/>
      </w:rPr>
    </w:lvl>
    <w:lvl w:ilvl="1" w:tplc="427617AC">
      <w:start w:val="1"/>
      <w:numFmt w:val="bullet"/>
      <w:lvlText w:val="o"/>
      <w:lvlJc w:val="left"/>
      <w:pPr>
        <w:ind w:left="1440" w:hanging="360"/>
      </w:pPr>
      <w:rPr>
        <w:rFonts w:ascii="Courier New" w:hAnsi="Courier New" w:hint="default"/>
      </w:rPr>
    </w:lvl>
    <w:lvl w:ilvl="2" w:tplc="77D0DEEE">
      <w:start w:val="1"/>
      <w:numFmt w:val="bullet"/>
      <w:lvlText w:val=""/>
      <w:lvlJc w:val="left"/>
      <w:pPr>
        <w:ind w:left="2160" w:hanging="360"/>
      </w:pPr>
      <w:rPr>
        <w:rFonts w:ascii="Wingdings" w:hAnsi="Wingdings" w:hint="default"/>
      </w:rPr>
    </w:lvl>
    <w:lvl w:ilvl="3" w:tplc="E7B6DCFA">
      <w:start w:val="1"/>
      <w:numFmt w:val="bullet"/>
      <w:lvlText w:val=""/>
      <w:lvlJc w:val="left"/>
      <w:pPr>
        <w:ind w:left="2880" w:hanging="360"/>
      </w:pPr>
      <w:rPr>
        <w:rFonts w:ascii="Symbol" w:hAnsi="Symbol" w:hint="default"/>
      </w:rPr>
    </w:lvl>
    <w:lvl w:ilvl="4" w:tplc="25E41FC2">
      <w:start w:val="1"/>
      <w:numFmt w:val="bullet"/>
      <w:lvlText w:val="o"/>
      <w:lvlJc w:val="left"/>
      <w:pPr>
        <w:ind w:left="3600" w:hanging="360"/>
      </w:pPr>
      <w:rPr>
        <w:rFonts w:ascii="Courier New" w:hAnsi="Courier New" w:hint="default"/>
      </w:rPr>
    </w:lvl>
    <w:lvl w:ilvl="5" w:tplc="D8827756">
      <w:start w:val="1"/>
      <w:numFmt w:val="bullet"/>
      <w:lvlText w:val=""/>
      <w:lvlJc w:val="left"/>
      <w:pPr>
        <w:ind w:left="4320" w:hanging="360"/>
      </w:pPr>
      <w:rPr>
        <w:rFonts w:ascii="Wingdings" w:hAnsi="Wingdings" w:hint="default"/>
      </w:rPr>
    </w:lvl>
    <w:lvl w:ilvl="6" w:tplc="A9465CC2">
      <w:start w:val="1"/>
      <w:numFmt w:val="bullet"/>
      <w:lvlText w:val=""/>
      <w:lvlJc w:val="left"/>
      <w:pPr>
        <w:ind w:left="5040" w:hanging="360"/>
      </w:pPr>
      <w:rPr>
        <w:rFonts w:ascii="Symbol" w:hAnsi="Symbol" w:hint="default"/>
      </w:rPr>
    </w:lvl>
    <w:lvl w:ilvl="7" w:tplc="DD7676EC">
      <w:start w:val="1"/>
      <w:numFmt w:val="bullet"/>
      <w:lvlText w:val="o"/>
      <w:lvlJc w:val="left"/>
      <w:pPr>
        <w:ind w:left="5760" w:hanging="360"/>
      </w:pPr>
      <w:rPr>
        <w:rFonts w:ascii="Courier New" w:hAnsi="Courier New" w:hint="default"/>
      </w:rPr>
    </w:lvl>
    <w:lvl w:ilvl="8" w:tplc="D87EE318">
      <w:start w:val="1"/>
      <w:numFmt w:val="bullet"/>
      <w:lvlText w:val=""/>
      <w:lvlJc w:val="left"/>
      <w:pPr>
        <w:ind w:left="6480" w:hanging="360"/>
      </w:pPr>
      <w:rPr>
        <w:rFonts w:ascii="Wingdings" w:hAnsi="Wingdings" w:hint="default"/>
      </w:rPr>
    </w:lvl>
  </w:abstractNum>
  <w:abstractNum w:abstractNumId="9" w15:restartNumberingAfterBreak="0">
    <w:nsid w:val="5C64CB55"/>
    <w:multiLevelType w:val="hybridMultilevel"/>
    <w:tmpl w:val="9E8A85FC"/>
    <w:lvl w:ilvl="0" w:tplc="9CF87D42">
      <w:start w:val="1"/>
      <w:numFmt w:val="bullet"/>
      <w:lvlText w:val=""/>
      <w:lvlJc w:val="left"/>
      <w:pPr>
        <w:ind w:left="720" w:hanging="360"/>
      </w:pPr>
      <w:rPr>
        <w:rFonts w:ascii="Symbol" w:hAnsi="Symbol" w:hint="default"/>
      </w:rPr>
    </w:lvl>
    <w:lvl w:ilvl="1" w:tplc="A9F47926">
      <w:start w:val="1"/>
      <w:numFmt w:val="bullet"/>
      <w:lvlText w:val="o"/>
      <w:lvlJc w:val="left"/>
      <w:pPr>
        <w:ind w:left="1440" w:hanging="360"/>
      </w:pPr>
      <w:rPr>
        <w:rFonts w:ascii="Courier New" w:hAnsi="Courier New" w:hint="default"/>
      </w:rPr>
    </w:lvl>
    <w:lvl w:ilvl="2" w:tplc="42146CC2">
      <w:start w:val="1"/>
      <w:numFmt w:val="bullet"/>
      <w:lvlText w:val=""/>
      <w:lvlJc w:val="left"/>
      <w:pPr>
        <w:ind w:left="2160" w:hanging="360"/>
      </w:pPr>
      <w:rPr>
        <w:rFonts w:ascii="Wingdings" w:hAnsi="Wingdings" w:hint="default"/>
      </w:rPr>
    </w:lvl>
    <w:lvl w:ilvl="3" w:tplc="EB8E66C8">
      <w:start w:val="1"/>
      <w:numFmt w:val="bullet"/>
      <w:lvlText w:val=""/>
      <w:lvlJc w:val="left"/>
      <w:pPr>
        <w:ind w:left="2880" w:hanging="360"/>
      </w:pPr>
      <w:rPr>
        <w:rFonts w:ascii="Symbol" w:hAnsi="Symbol" w:hint="default"/>
      </w:rPr>
    </w:lvl>
    <w:lvl w:ilvl="4" w:tplc="6F8CC934">
      <w:start w:val="1"/>
      <w:numFmt w:val="bullet"/>
      <w:lvlText w:val="o"/>
      <w:lvlJc w:val="left"/>
      <w:pPr>
        <w:ind w:left="3600" w:hanging="360"/>
      </w:pPr>
      <w:rPr>
        <w:rFonts w:ascii="Courier New" w:hAnsi="Courier New" w:hint="default"/>
      </w:rPr>
    </w:lvl>
    <w:lvl w:ilvl="5" w:tplc="6E4AAE02">
      <w:start w:val="1"/>
      <w:numFmt w:val="bullet"/>
      <w:lvlText w:val=""/>
      <w:lvlJc w:val="left"/>
      <w:pPr>
        <w:ind w:left="4320" w:hanging="360"/>
      </w:pPr>
      <w:rPr>
        <w:rFonts w:ascii="Wingdings" w:hAnsi="Wingdings" w:hint="default"/>
      </w:rPr>
    </w:lvl>
    <w:lvl w:ilvl="6" w:tplc="FF3A232A">
      <w:start w:val="1"/>
      <w:numFmt w:val="bullet"/>
      <w:lvlText w:val=""/>
      <w:lvlJc w:val="left"/>
      <w:pPr>
        <w:ind w:left="5040" w:hanging="360"/>
      </w:pPr>
      <w:rPr>
        <w:rFonts w:ascii="Symbol" w:hAnsi="Symbol" w:hint="default"/>
      </w:rPr>
    </w:lvl>
    <w:lvl w:ilvl="7" w:tplc="702849A8">
      <w:start w:val="1"/>
      <w:numFmt w:val="bullet"/>
      <w:lvlText w:val="o"/>
      <w:lvlJc w:val="left"/>
      <w:pPr>
        <w:ind w:left="5760" w:hanging="360"/>
      </w:pPr>
      <w:rPr>
        <w:rFonts w:ascii="Courier New" w:hAnsi="Courier New" w:hint="default"/>
      </w:rPr>
    </w:lvl>
    <w:lvl w:ilvl="8" w:tplc="4A74D4CE">
      <w:start w:val="1"/>
      <w:numFmt w:val="bullet"/>
      <w:lvlText w:val=""/>
      <w:lvlJc w:val="left"/>
      <w:pPr>
        <w:ind w:left="6480" w:hanging="360"/>
      </w:pPr>
      <w:rPr>
        <w:rFonts w:ascii="Wingdings" w:hAnsi="Wingdings" w:hint="default"/>
      </w:rPr>
    </w:lvl>
  </w:abstractNum>
  <w:abstractNum w:abstractNumId="10" w15:restartNumberingAfterBreak="0">
    <w:nsid w:val="624235D8"/>
    <w:multiLevelType w:val="hybridMultilevel"/>
    <w:tmpl w:val="24180B3E"/>
    <w:lvl w:ilvl="0" w:tplc="8A9C00F6">
      <w:start w:val="1"/>
      <w:numFmt w:val="bullet"/>
      <w:lvlText w:val=""/>
      <w:lvlJc w:val="left"/>
      <w:pPr>
        <w:ind w:left="720" w:hanging="360"/>
      </w:pPr>
      <w:rPr>
        <w:rFonts w:ascii="Symbol" w:hAnsi="Symbol" w:hint="default"/>
      </w:rPr>
    </w:lvl>
    <w:lvl w:ilvl="1" w:tplc="25D835BA">
      <w:start w:val="1"/>
      <w:numFmt w:val="bullet"/>
      <w:lvlText w:val="o"/>
      <w:lvlJc w:val="left"/>
      <w:pPr>
        <w:ind w:left="1440" w:hanging="360"/>
      </w:pPr>
      <w:rPr>
        <w:rFonts w:ascii="Courier New" w:hAnsi="Courier New" w:hint="default"/>
      </w:rPr>
    </w:lvl>
    <w:lvl w:ilvl="2" w:tplc="8F54F716">
      <w:start w:val="1"/>
      <w:numFmt w:val="bullet"/>
      <w:lvlText w:val=""/>
      <w:lvlJc w:val="left"/>
      <w:pPr>
        <w:ind w:left="2160" w:hanging="360"/>
      </w:pPr>
      <w:rPr>
        <w:rFonts w:ascii="Wingdings" w:hAnsi="Wingdings" w:hint="default"/>
      </w:rPr>
    </w:lvl>
    <w:lvl w:ilvl="3" w:tplc="9DB6D688">
      <w:start w:val="1"/>
      <w:numFmt w:val="bullet"/>
      <w:lvlText w:val=""/>
      <w:lvlJc w:val="left"/>
      <w:pPr>
        <w:ind w:left="2880" w:hanging="360"/>
      </w:pPr>
      <w:rPr>
        <w:rFonts w:ascii="Symbol" w:hAnsi="Symbol" w:hint="default"/>
      </w:rPr>
    </w:lvl>
    <w:lvl w:ilvl="4" w:tplc="A426D6C4">
      <w:start w:val="1"/>
      <w:numFmt w:val="bullet"/>
      <w:lvlText w:val="o"/>
      <w:lvlJc w:val="left"/>
      <w:pPr>
        <w:ind w:left="3600" w:hanging="360"/>
      </w:pPr>
      <w:rPr>
        <w:rFonts w:ascii="Courier New" w:hAnsi="Courier New" w:hint="default"/>
      </w:rPr>
    </w:lvl>
    <w:lvl w:ilvl="5" w:tplc="DF5A0D04">
      <w:start w:val="1"/>
      <w:numFmt w:val="bullet"/>
      <w:lvlText w:val=""/>
      <w:lvlJc w:val="left"/>
      <w:pPr>
        <w:ind w:left="4320" w:hanging="360"/>
      </w:pPr>
      <w:rPr>
        <w:rFonts w:ascii="Wingdings" w:hAnsi="Wingdings" w:hint="default"/>
      </w:rPr>
    </w:lvl>
    <w:lvl w:ilvl="6" w:tplc="8F06589C">
      <w:start w:val="1"/>
      <w:numFmt w:val="bullet"/>
      <w:lvlText w:val=""/>
      <w:lvlJc w:val="left"/>
      <w:pPr>
        <w:ind w:left="5040" w:hanging="360"/>
      </w:pPr>
      <w:rPr>
        <w:rFonts w:ascii="Symbol" w:hAnsi="Symbol" w:hint="default"/>
      </w:rPr>
    </w:lvl>
    <w:lvl w:ilvl="7" w:tplc="CF2448C0">
      <w:start w:val="1"/>
      <w:numFmt w:val="bullet"/>
      <w:lvlText w:val="o"/>
      <w:lvlJc w:val="left"/>
      <w:pPr>
        <w:ind w:left="5760" w:hanging="360"/>
      </w:pPr>
      <w:rPr>
        <w:rFonts w:ascii="Courier New" w:hAnsi="Courier New" w:hint="default"/>
      </w:rPr>
    </w:lvl>
    <w:lvl w:ilvl="8" w:tplc="7A8CC7C6">
      <w:start w:val="1"/>
      <w:numFmt w:val="bullet"/>
      <w:lvlText w:val=""/>
      <w:lvlJc w:val="left"/>
      <w:pPr>
        <w:ind w:left="6480" w:hanging="360"/>
      </w:pPr>
      <w:rPr>
        <w:rFonts w:ascii="Wingdings" w:hAnsi="Wingdings" w:hint="default"/>
      </w:rPr>
    </w:lvl>
  </w:abstractNum>
  <w:abstractNum w:abstractNumId="11" w15:restartNumberingAfterBreak="0">
    <w:nsid w:val="6A533755"/>
    <w:multiLevelType w:val="hybridMultilevel"/>
    <w:tmpl w:val="120225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07911733">
    <w:abstractNumId w:val="11"/>
  </w:num>
  <w:num w:numId="2" w16cid:durableId="1538853009">
    <w:abstractNumId w:val="3"/>
  </w:num>
  <w:num w:numId="3" w16cid:durableId="1550915521">
    <w:abstractNumId w:val="10"/>
  </w:num>
  <w:num w:numId="4" w16cid:durableId="1736511834">
    <w:abstractNumId w:val="7"/>
  </w:num>
  <w:num w:numId="5" w16cid:durableId="1878465079">
    <w:abstractNumId w:val="6"/>
  </w:num>
  <w:num w:numId="6" w16cid:durableId="246886476">
    <w:abstractNumId w:val="0"/>
  </w:num>
  <w:num w:numId="7" w16cid:durableId="288437501">
    <w:abstractNumId w:val="5"/>
  </w:num>
  <w:num w:numId="8" w16cid:durableId="366104647">
    <w:abstractNumId w:val="2"/>
  </w:num>
  <w:num w:numId="9" w16cid:durableId="574437274">
    <w:abstractNumId w:val="9"/>
  </w:num>
  <w:num w:numId="10" w16cid:durableId="652368598">
    <w:abstractNumId w:val="8"/>
  </w:num>
  <w:num w:numId="11" w16cid:durableId="767778904">
    <w:abstractNumId w:val="4"/>
  </w:num>
  <w:num w:numId="12" w16cid:durableId="795180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DF2"/>
    <w:rsid w:val="00000EBE"/>
    <w:rsid w:val="00002306"/>
    <w:rsid w:val="00003E18"/>
    <w:rsid w:val="00005157"/>
    <w:rsid w:val="00007748"/>
    <w:rsid w:val="0001169B"/>
    <w:rsid w:val="0001394E"/>
    <w:rsid w:val="0001613E"/>
    <w:rsid w:val="00020FE3"/>
    <w:rsid w:val="000210F2"/>
    <w:rsid w:val="000260B8"/>
    <w:rsid w:val="00030DBF"/>
    <w:rsid w:val="000330BE"/>
    <w:rsid w:val="00034302"/>
    <w:rsid w:val="00034492"/>
    <w:rsid w:val="00035864"/>
    <w:rsid w:val="00035D32"/>
    <w:rsid w:val="000364D8"/>
    <w:rsid w:val="000367C6"/>
    <w:rsid w:val="00037595"/>
    <w:rsid w:val="000410EF"/>
    <w:rsid w:val="00043C42"/>
    <w:rsid w:val="00044C08"/>
    <w:rsid w:val="000472AA"/>
    <w:rsid w:val="00051144"/>
    <w:rsid w:val="000520B8"/>
    <w:rsid w:val="0005254D"/>
    <w:rsid w:val="00055CE0"/>
    <w:rsid w:val="0005658D"/>
    <w:rsid w:val="00056E95"/>
    <w:rsid w:val="000573C1"/>
    <w:rsid w:val="0006620F"/>
    <w:rsid w:val="0006751D"/>
    <w:rsid w:val="000707B2"/>
    <w:rsid w:val="00070E29"/>
    <w:rsid w:val="00071118"/>
    <w:rsid w:val="00073CE5"/>
    <w:rsid w:val="00082003"/>
    <w:rsid w:val="00083569"/>
    <w:rsid w:val="00087E30"/>
    <w:rsid w:val="00097B4E"/>
    <w:rsid w:val="000A054A"/>
    <w:rsid w:val="000A0B9E"/>
    <w:rsid w:val="000A0EEB"/>
    <w:rsid w:val="000A3295"/>
    <w:rsid w:val="000A447B"/>
    <w:rsid w:val="000A5A49"/>
    <w:rsid w:val="000A6BF8"/>
    <w:rsid w:val="000B1B5C"/>
    <w:rsid w:val="000B3251"/>
    <w:rsid w:val="000C04AA"/>
    <w:rsid w:val="000C09CD"/>
    <w:rsid w:val="000C4D34"/>
    <w:rsid w:val="000C5B8F"/>
    <w:rsid w:val="000C5D23"/>
    <w:rsid w:val="000C7D05"/>
    <w:rsid w:val="000D2224"/>
    <w:rsid w:val="000D2F29"/>
    <w:rsid w:val="000E2A30"/>
    <w:rsid w:val="000E784C"/>
    <w:rsid w:val="000F292E"/>
    <w:rsid w:val="000F624A"/>
    <w:rsid w:val="000F745F"/>
    <w:rsid w:val="001042AB"/>
    <w:rsid w:val="001046E7"/>
    <w:rsid w:val="00107E5D"/>
    <w:rsid w:val="00112F0A"/>
    <w:rsid w:val="00113D12"/>
    <w:rsid w:val="00115ECD"/>
    <w:rsid w:val="001174CD"/>
    <w:rsid w:val="0011765D"/>
    <w:rsid w:val="00120160"/>
    <w:rsid w:val="0012051F"/>
    <w:rsid w:val="0013043F"/>
    <w:rsid w:val="001360F3"/>
    <w:rsid w:val="00136393"/>
    <w:rsid w:val="00142486"/>
    <w:rsid w:val="00144FE0"/>
    <w:rsid w:val="00145E0D"/>
    <w:rsid w:val="00146C47"/>
    <w:rsid w:val="00147C33"/>
    <w:rsid w:val="00151014"/>
    <w:rsid w:val="00155122"/>
    <w:rsid w:val="00157581"/>
    <w:rsid w:val="00157AA6"/>
    <w:rsid w:val="00161CB7"/>
    <w:rsid w:val="00162D32"/>
    <w:rsid w:val="001633C6"/>
    <w:rsid w:val="00170623"/>
    <w:rsid w:val="00172AB8"/>
    <w:rsid w:val="00172F4A"/>
    <w:rsid w:val="0017302B"/>
    <w:rsid w:val="001740A4"/>
    <w:rsid w:val="00176D36"/>
    <w:rsid w:val="00177214"/>
    <w:rsid w:val="00177A7C"/>
    <w:rsid w:val="00177C9D"/>
    <w:rsid w:val="0018286F"/>
    <w:rsid w:val="001839C1"/>
    <w:rsid w:val="0018427D"/>
    <w:rsid w:val="001845C3"/>
    <w:rsid w:val="00184B87"/>
    <w:rsid w:val="00186D00"/>
    <w:rsid w:val="001900A8"/>
    <w:rsid w:val="00191329"/>
    <w:rsid w:val="0019455B"/>
    <w:rsid w:val="001960C9"/>
    <w:rsid w:val="001A0DEC"/>
    <w:rsid w:val="001A38B4"/>
    <w:rsid w:val="001B1D93"/>
    <w:rsid w:val="001B3083"/>
    <w:rsid w:val="001B6A5B"/>
    <w:rsid w:val="001C2342"/>
    <w:rsid w:val="001C26E5"/>
    <w:rsid w:val="001C622A"/>
    <w:rsid w:val="001D013F"/>
    <w:rsid w:val="001D2388"/>
    <w:rsid w:val="001D469E"/>
    <w:rsid w:val="001D7258"/>
    <w:rsid w:val="001D7A74"/>
    <w:rsid w:val="001E7030"/>
    <w:rsid w:val="001E7D2D"/>
    <w:rsid w:val="001F32A8"/>
    <w:rsid w:val="001F5E5B"/>
    <w:rsid w:val="001F6A4A"/>
    <w:rsid w:val="0020178B"/>
    <w:rsid w:val="00201940"/>
    <w:rsid w:val="002051B3"/>
    <w:rsid w:val="002067E4"/>
    <w:rsid w:val="0021142B"/>
    <w:rsid w:val="002114C6"/>
    <w:rsid w:val="00212BE9"/>
    <w:rsid w:val="00214D6D"/>
    <w:rsid w:val="0021596D"/>
    <w:rsid w:val="00216233"/>
    <w:rsid w:val="002213DB"/>
    <w:rsid w:val="002232C2"/>
    <w:rsid w:val="00227B9D"/>
    <w:rsid w:val="00227CA8"/>
    <w:rsid w:val="00230FA5"/>
    <w:rsid w:val="002337E1"/>
    <w:rsid w:val="00234C4E"/>
    <w:rsid w:val="00237623"/>
    <w:rsid w:val="00237D5E"/>
    <w:rsid w:val="00241C26"/>
    <w:rsid w:val="0024267C"/>
    <w:rsid w:val="00242A92"/>
    <w:rsid w:val="00243611"/>
    <w:rsid w:val="00244545"/>
    <w:rsid w:val="0024644B"/>
    <w:rsid w:val="00247D68"/>
    <w:rsid w:val="00252BD7"/>
    <w:rsid w:val="00252CD8"/>
    <w:rsid w:val="00253572"/>
    <w:rsid w:val="002544EE"/>
    <w:rsid w:val="0025474F"/>
    <w:rsid w:val="00255AD8"/>
    <w:rsid w:val="00260EF1"/>
    <w:rsid w:val="00263573"/>
    <w:rsid w:val="00265452"/>
    <w:rsid w:val="00276808"/>
    <w:rsid w:val="002771DE"/>
    <w:rsid w:val="002777F9"/>
    <w:rsid w:val="00282793"/>
    <w:rsid w:val="00284425"/>
    <w:rsid w:val="00284B74"/>
    <w:rsid w:val="002863E6"/>
    <w:rsid w:val="00290E0A"/>
    <w:rsid w:val="00293448"/>
    <w:rsid w:val="00293B8C"/>
    <w:rsid w:val="0029410F"/>
    <w:rsid w:val="002A0A14"/>
    <w:rsid w:val="002A0B6A"/>
    <w:rsid w:val="002A0D2D"/>
    <w:rsid w:val="002A1156"/>
    <w:rsid w:val="002A2827"/>
    <w:rsid w:val="002A35CF"/>
    <w:rsid w:val="002A43B3"/>
    <w:rsid w:val="002A68CA"/>
    <w:rsid w:val="002A73E7"/>
    <w:rsid w:val="002B156F"/>
    <w:rsid w:val="002B2E7D"/>
    <w:rsid w:val="002B43A3"/>
    <w:rsid w:val="002B461E"/>
    <w:rsid w:val="002B629A"/>
    <w:rsid w:val="002B73D6"/>
    <w:rsid w:val="002C0B7A"/>
    <w:rsid w:val="002C15E8"/>
    <w:rsid w:val="002C1EFA"/>
    <w:rsid w:val="002C490E"/>
    <w:rsid w:val="002C5D07"/>
    <w:rsid w:val="002C7509"/>
    <w:rsid w:val="002C76B7"/>
    <w:rsid w:val="002D00EA"/>
    <w:rsid w:val="002D00FB"/>
    <w:rsid w:val="002D0B7A"/>
    <w:rsid w:val="002D765C"/>
    <w:rsid w:val="002D7A0D"/>
    <w:rsid w:val="002E0253"/>
    <w:rsid w:val="002E44FD"/>
    <w:rsid w:val="002F2F84"/>
    <w:rsid w:val="002F3169"/>
    <w:rsid w:val="002F380C"/>
    <w:rsid w:val="002F7E35"/>
    <w:rsid w:val="003012E3"/>
    <w:rsid w:val="00302024"/>
    <w:rsid w:val="003041A4"/>
    <w:rsid w:val="00304464"/>
    <w:rsid w:val="00306EED"/>
    <w:rsid w:val="0031135A"/>
    <w:rsid w:val="00311814"/>
    <w:rsid w:val="0032122A"/>
    <w:rsid w:val="00322D06"/>
    <w:rsid w:val="00324A2C"/>
    <w:rsid w:val="00326E17"/>
    <w:rsid w:val="0032760C"/>
    <w:rsid w:val="00327829"/>
    <w:rsid w:val="00330238"/>
    <w:rsid w:val="0033024C"/>
    <w:rsid w:val="003339DF"/>
    <w:rsid w:val="00336245"/>
    <w:rsid w:val="0035119E"/>
    <w:rsid w:val="0035153F"/>
    <w:rsid w:val="003519AA"/>
    <w:rsid w:val="00351A03"/>
    <w:rsid w:val="00354396"/>
    <w:rsid w:val="00354BB4"/>
    <w:rsid w:val="0035677B"/>
    <w:rsid w:val="00356904"/>
    <w:rsid w:val="003613E7"/>
    <w:rsid w:val="00362A30"/>
    <w:rsid w:val="0036333E"/>
    <w:rsid w:val="00370AB4"/>
    <w:rsid w:val="00371A2F"/>
    <w:rsid w:val="00372260"/>
    <w:rsid w:val="00374184"/>
    <w:rsid w:val="0038210B"/>
    <w:rsid w:val="00382CFF"/>
    <w:rsid w:val="00383D41"/>
    <w:rsid w:val="00396666"/>
    <w:rsid w:val="003967E8"/>
    <w:rsid w:val="00397511"/>
    <w:rsid w:val="003A1ACF"/>
    <w:rsid w:val="003A3CFA"/>
    <w:rsid w:val="003A7B87"/>
    <w:rsid w:val="003A7BD4"/>
    <w:rsid w:val="003B1426"/>
    <w:rsid w:val="003B208E"/>
    <w:rsid w:val="003B2220"/>
    <w:rsid w:val="003B314F"/>
    <w:rsid w:val="003B4CBE"/>
    <w:rsid w:val="003C05DF"/>
    <w:rsid w:val="003C194E"/>
    <w:rsid w:val="003C2BEB"/>
    <w:rsid w:val="003C2DF2"/>
    <w:rsid w:val="003C5C10"/>
    <w:rsid w:val="003C7412"/>
    <w:rsid w:val="003D1C63"/>
    <w:rsid w:val="003D3655"/>
    <w:rsid w:val="003D4130"/>
    <w:rsid w:val="003D6BE8"/>
    <w:rsid w:val="003D6D78"/>
    <w:rsid w:val="003E3154"/>
    <w:rsid w:val="003E36BA"/>
    <w:rsid w:val="003E7EA6"/>
    <w:rsid w:val="003F2B9F"/>
    <w:rsid w:val="003F4DF2"/>
    <w:rsid w:val="003F685B"/>
    <w:rsid w:val="003F74B8"/>
    <w:rsid w:val="00400CCB"/>
    <w:rsid w:val="00401C51"/>
    <w:rsid w:val="00402CB5"/>
    <w:rsid w:val="00403349"/>
    <w:rsid w:val="00404D1B"/>
    <w:rsid w:val="004059D0"/>
    <w:rsid w:val="004065B9"/>
    <w:rsid w:val="00406A5A"/>
    <w:rsid w:val="004110A3"/>
    <w:rsid w:val="00412124"/>
    <w:rsid w:val="00412298"/>
    <w:rsid w:val="004122C3"/>
    <w:rsid w:val="00413A4E"/>
    <w:rsid w:val="00414347"/>
    <w:rsid w:val="004160F3"/>
    <w:rsid w:val="004205BD"/>
    <w:rsid w:val="00421EA0"/>
    <w:rsid w:val="00422A2C"/>
    <w:rsid w:val="0042340B"/>
    <w:rsid w:val="00423F37"/>
    <w:rsid w:val="00424525"/>
    <w:rsid w:val="004249F9"/>
    <w:rsid w:val="00426F21"/>
    <w:rsid w:val="00427363"/>
    <w:rsid w:val="004308A8"/>
    <w:rsid w:val="00431048"/>
    <w:rsid w:val="00431357"/>
    <w:rsid w:val="00431986"/>
    <w:rsid w:val="00432976"/>
    <w:rsid w:val="00433A5C"/>
    <w:rsid w:val="00437376"/>
    <w:rsid w:val="00437F6A"/>
    <w:rsid w:val="00446199"/>
    <w:rsid w:val="00447B3E"/>
    <w:rsid w:val="00447B56"/>
    <w:rsid w:val="0045043D"/>
    <w:rsid w:val="00460263"/>
    <w:rsid w:val="004602C4"/>
    <w:rsid w:val="00461FED"/>
    <w:rsid w:val="00463828"/>
    <w:rsid w:val="00466A82"/>
    <w:rsid w:val="00467AD0"/>
    <w:rsid w:val="0047155F"/>
    <w:rsid w:val="00474421"/>
    <w:rsid w:val="004747EE"/>
    <w:rsid w:val="00476A49"/>
    <w:rsid w:val="00481733"/>
    <w:rsid w:val="00484030"/>
    <w:rsid w:val="004929C6"/>
    <w:rsid w:val="004A1482"/>
    <w:rsid w:val="004A1F70"/>
    <w:rsid w:val="004A1F87"/>
    <w:rsid w:val="004A30AF"/>
    <w:rsid w:val="004A34CD"/>
    <w:rsid w:val="004A4CA5"/>
    <w:rsid w:val="004A530C"/>
    <w:rsid w:val="004B0877"/>
    <w:rsid w:val="004B7D03"/>
    <w:rsid w:val="004C01FE"/>
    <w:rsid w:val="004C0E77"/>
    <w:rsid w:val="004C5425"/>
    <w:rsid w:val="004C6459"/>
    <w:rsid w:val="004C6E1B"/>
    <w:rsid w:val="004C7560"/>
    <w:rsid w:val="004D03E8"/>
    <w:rsid w:val="004D5C0D"/>
    <w:rsid w:val="004D6172"/>
    <w:rsid w:val="004D61EC"/>
    <w:rsid w:val="004D7687"/>
    <w:rsid w:val="004E1BB3"/>
    <w:rsid w:val="004E23C4"/>
    <w:rsid w:val="004E2BA0"/>
    <w:rsid w:val="004E35A9"/>
    <w:rsid w:val="004E429B"/>
    <w:rsid w:val="004E670D"/>
    <w:rsid w:val="004F1236"/>
    <w:rsid w:val="004F12F2"/>
    <w:rsid w:val="004F2A81"/>
    <w:rsid w:val="00500B0D"/>
    <w:rsid w:val="00505439"/>
    <w:rsid w:val="0051024A"/>
    <w:rsid w:val="00510C22"/>
    <w:rsid w:val="00512186"/>
    <w:rsid w:val="00512C3D"/>
    <w:rsid w:val="0051302F"/>
    <w:rsid w:val="00513ADD"/>
    <w:rsid w:val="0051525B"/>
    <w:rsid w:val="00524223"/>
    <w:rsid w:val="0052518F"/>
    <w:rsid w:val="005301C4"/>
    <w:rsid w:val="00531DC4"/>
    <w:rsid w:val="00534E73"/>
    <w:rsid w:val="0053599A"/>
    <w:rsid w:val="00535A9A"/>
    <w:rsid w:val="00540F0B"/>
    <w:rsid w:val="00543036"/>
    <w:rsid w:val="0054328A"/>
    <w:rsid w:val="00543B4B"/>
    <w:rsid w:val="00545CE0"/>
    <w:rsid w:val="005503E1"/>
    <w:rsid w:val="00551B0C"/>
    <w:rsid w:val="00552E4D"/>
    <w:rsid w:val="00553329"/>
    <w:rsid w:val="0055459A"/>
    <w:rsid w:val="00556DA9"/>
    <w:rsid w:val="00563BF6"/>
    <w:rsid w:val="00564055"/>
    <w:rsid w:val="0056477B"/>
    <w:rsid w:val="0056621B"/>
    <w:rsid w:val="00567CD2"/>
    <w:rsid w:val="005717F0"/>
    <w:rsid w:val="00571BB4"/>
    <w:rsid w:val="0057304A"/>
    <w:rsid w:val="005763E4"/>
    <w:rsid w:val="00576930"/>
    <w:rsid w:val="00580EA6"/>
    <w:rsid w:val="00581485"/>
    <w:rsid w:val="0058219E"/>
    <w:rsid w:val="005827E1"/>
    <w:rsid w:val="00583386"/>
    <w:rsid w:val="0058542C"/>
    <w:rsid w:val="00585CD9"/>
    <w:rsid w:val="005867CF"/>
    <w:rsid w:val="005946D1"/>
    <w:rsid w:val="005948F4"/>
    <w:rsid w:val="00596A47"/>
    <w:rsid w:val="00597134"/>
    <w:rsid w:val="005A4DE7"/>
    <w:rsid w:val="005A6F68"/>
    <w:rsid w:val="005A6FE3"/>
    <w:rsid w:val="005B1312"/>
    <w:rsid w:val="005B1C85"/>
    <w:rsid w:val="005B3175"/>
    <w:rsid w:val="005B741F"/>
    <w:rsid w:val="005B7948"/>
    <w:rsid w:val="005C219D"/>
    <w:rsid w:val="005C261B"/>
    <w:rsid w:val="005C3BD6"/>
    <w:rsid w:val="005C3F2D"/>
    <w:rsid w:val="005C52F1"/>
    <w:rsid w:val="005C5FF2"/>
    <w:rsid w:val="005D5B3E"/>
    <w:rsid w:val="005D63A8"/>
    <w:rsid w:val="005D732C"/>
    <w:rsid w:val="005D7918"/>
    <w:rsid w:val="005E3591"/>
    <w:rsid w:val="005E3890"/>
    <w:rsid w:val="005F080B"/>
    <w:rsid w:val="005F09C5"/>
    <w:rsid w:val="005F1269"/>
    <w:rsid w:val="005F24ED"/>
    <w:rsid w:val="00600541"/>
    <w:rsid w:val="00602E2E"/>
    <w:rsid w:val="006047A4"/>
    <w:rsid w:val="00604CC1"/>
    <w:rsid w:val="00605358"/>
    <w:rsid w:val="00605429"/>
    <w:rsid w:val="00606C63"/>
    <w:rsid w:val="00614DB2"/>
    <w:rsid w:val="00616274"/>
    <w:rsid w:val="00616B66"/>
    <w:rsid w:val="0061700F"/>
    <w:rsid w:val="0061744C"/>
    <w:rsid w:val="006241A0"/>
    <w:rsid w:val="00632BB0"/>
    <w:rsid w:val="00636761"/>
    <w:rsid w:val="00637DAD"/>
    <w:rsid w:val="00641FC1"/>
    <w:rsid w:val="00643800"/>
    <w:rsid w:val="00651E02"/>
    <w:rsid w:val="00656E22"/>
    <w:rsid w:val="0065745A"/>
    <w:rsid w:val="006609E7"/>
    <w:rsid w:val="006647DF"/>
    <w:rsid w:val="006659B3"/>
    <w:rsid w:val="006666C2"/>
    <w:rsid w:val="006730F4"/>
    <w:rsid w:val="00675193"/>
    <w:rsid w:val="00675B54"/>
    <w:rsid w:val="006836A3"/>
    <w:rsid w:val="00683AFC"/>
    <w:rsid w:val="00686D90"/>
    <w:rsid w:val="0068738D"/>
    <w:rsid w:val="00693933"/>
    <w:rsid w:val="006943C3"/>
    <w:rsid w:val="006947AE"/>
    <w:rsid w:val="00694F99"/>
    <w:rsid w:val="00697AA7"/>
    <w:rsid w:val="006A2233"/>
    <w:rsid w:val="006A2D7C"/>
    <w:rsid w:val="006A3CF1"/>
    <w:rsid w:val="006A4258"/>
    <w:rsid w:val="006A7510"/>
    <w:rsid w:val="006B001D"/>
    <w:rsid w:val="006B5571"/>
    <w:rsid w:val="006B5BF9"/>
    <w:rsid w:val="006C0E1E"/>
    <w:rsid w:val="006C23BB"/>
    <w:rsid w:val="006D3A4C"/>
    <w:rsid w:val="006D6A19"/>
    <w:rsid w:val="006D7473"/>
    <w:rsid w:val="006E043B"/>
    <w:rsid w:val="006E07A9"/>
    <w:rsid w:val="006E1ADF"/>
    <w:rsid w:val="006E2E21"/>
    <w:rsid w:val="006E425F"/>
    <w:rsid w:val="006E5FFD"/>
    <w:rsid w:val="006E7685"/>
    <w:rsid w:val="006F1202"/>
    <w:rsid w:val="006F1999"/>
    <w:rsid w:val="006F1D31"/>
    <w:rsid w:val="006F3C6E"/>
    <w:rsid w:val="006F4E2F"/>
    <w:rsid w:val="006F60B8"/>
    <w:rsid w:val="006F6340"/>
    <w:rsid w:val="006F785C"/>
    <w:rsid w:val="006F7D4C"/>
    <w:rsid w:val="00700F9E"/>
    <w:rsid w:val="00701F3C"/>
    <w:rsid w:val="00702915"/>
    <w:rsid w:val="00706161"/>
    <w:rsid w:val="00707E96"/>
    <w:rsid w:val="00711E56"/>
    <w:rsid w:val="00713546"/>
    <w:rsid w:val="00713A67"/>
    <w:rsid w:val="00724944"/>
    <w:rsid w:val="00727C01"/>
    <w:rsid w:val="00731192"/>
    <w:rsid w:val="007327BA"/>
    <w:rsid w:val="00734FDB"/>
    <w:rsid w:val="00737B81"/>
    <w:rsid w:val="00741315"/>
    <w:rsid w:val="00741689"/>
    <w:rsid w:val="00742287"/>
    <w:rsid w:val="00744560"/>
    <w:rsid w:val="00744ECE"/>
    <w:rsid w:val="00744F2D"/>
    <w:rsid w:val="007464DA"/>
    <w:rsid w:val="0074690E"/>
    <w:rsid w:val="0074739B"/>
    <w:rsid w:val="00750CF6"/>
    <w:rsid w:val="0075117B"/>
    <w:rsid w:val="00752921"/>
    <w:rsid w:val="00752A0B"/>
    <w:rsid w:val="007604B6"/>
    <w:rsid w:val="00762E6F"/>
    <w:rsid w:val="007638F5"/>
    <w:rsid w:val="00770312"/>
    <w:rsid w:val="00770947"/>
    <w:rsid w:val="007823A4"/>
    <w:rsid w:val="00782777"/>
    <w:rsid w:val="00782CC7"/>
    <w:rsid w:val="00782E41"/>
    <w:rsid w:val="0078464C"/>
    <w:rsid w:val="0079149B"/>
    <w:rsid w:val="00794F29"/>
    <w:rsid w:val="00797608"/>
    <w:rsid w:val="007A45AA"/>
    <w:rsid w:val="007A4E9E"/>
    <w:rsid w:val="007A6EDE"/>
    <w:rsid w:val="007B3AFB"/>
    <w:rsid w:val="007B786A"/>
    <w:rsid w:val="007C156F"/>
    <w:rsid w:val="007C322A"/>
    <w:rsid w:val="007C4046"/>
    <w:rsid w:val="007C5399"/>
    <w:rsid w:val="007C6D84"/>
    <w:rsid w:val="007C710A"/>
    <w:rsid w:val="007C74C4"/>
    <w:rsid w:val="007D1D0F"/>
    <w:rsid w:val="007D76AD"/>
    <w:rsid w:val="007E18E5"/>
    <w:rsid w:val="007E3F69"/>
    <w:rsid w:val="007E6020"/>
    <w:rsid w:val="007E6B35"/>
    <w:rsid w:val="007E6C71"/>
    <w:rsid w:val="007E7B2C"/>
    <w:rsid w:val="007F155B"/>
    <w:rsid w:val="007F4EC4"/>
    <w:rsid w:val="007F6603"/>
    <w:rsid w:val="007F6A23"/>
    <w:rsid w:val="007F7070"/>
    <w:rsid w:val="007F7C21"/>
    <w:rsid w:val="00800EC8"/>
    <w:rsid w:val="00804AF0"/>
    <w:rsid w:val="00813071"/>
    <w:rsid w:val="00814742"/>
    <w:rsid w:val="008229E2"/>
    <w:rsid w:val="008231F3"/>
    <w:rsid w:val="00827563"/>
    <w:rsid w:val="00836C25"/>
    <w:rsid w:val="008434C4"/>
    <w:rsid w:val="00843C8E"/>
    <w:rsid w:val="008445AD"/>
    <w:rsid w:val="00846D21"/>
    <w:rsid w:val="0084736D"/>
    <w:rsid w:val="008478F6"/>
    <w:rsid w:val="00853A8D"/>
    <w:rsid w:val="00853BBD"/>
    <w:rsid w:val="00856C06"/>
    <w:rsid w:val="00856C55"/>
    <w:rsid w:val="0086112B"/>
    <w:rsid w:val="008620B7"/>
    <w:rsid w:val="008621F8"/>
    <w:rsid w:val="00863849"/>
    <w:rsid w:val="00863A57"/>
    <w:rsid w:val="008653D5"/>
    <w:rsid w:val="008676AF"/>
    <w:rsid w:val="00870A6E"/>
    <w:rsid w:val="00872434"/>
    <w:rsid w:val="00872B3E"/>
    <w:rsid w:val="00872DBF"/>
    <w:rsid w:val="008809EF"/>
    <w:rsid w:val="00886294"/>
    <w:rsid w:val="008871CB"/>
    <w:rsid w:val="0088782F"/>
    <w:rsid w:val="00890034"/>
    <w:rsid w:val="00895192"/>
    <w:rsid w:val="0089572B"/>
    <w:rsid w:val="00896253"/>
    <w:rsid w:val="008A12C2"/>
    <w:rsid w:val="008A4F3C"/>
    <w:rsid w:val="008A7B39"/>
    <w:rsid w:val="008B1B7A"/>
    <w:rsid w:val="008B4D75"/>
    <w:rsid w:val="008B65E4"/>
    <w:rsid w:val="008C2DF0"/>
    <w:rsid w:val="008C4C01"/>
    <w:rsid w:val="008C4F3F"/>
    <w:rsid w:val="008D0902"/>
    <w:rsid w:val="008D1160"/>
    <w:rsid w:val="008D2555"/>
    <w:rsid w:val="008D2729"/>
    <w:rsid w:val="008D6AAC"/>
    <w:rsid w:val="008E07B2"/>
    <w:rsid w:val="008E1B64"/>
    <w:rsid w:val="008E2072"/>
    <w:rsid w:val="008E4179"/>
    <w:rsid w:val="008E4EB3"/>
    <w:rsid w:val="008F5DBF"/>
    <w:rsid w:val="008F72DE"/>
    <w:rsid w:val="008F7BB7"/>
    <w:rsid w:val="009004D4"/>
    <w:rsid w:val="00900AAA"/>
    <w:rsid w:val="0090136D"/>
    <w:rsid w:val="00901490"/>
    <w:rsid w:val="0090297F"/>
    <w:rsid w:val="00903BDE"/>
    <w:rsid w:val="00905075"/>
    <w:rsid w:val="00913A86"/>
    <w:rsid w:val="0091476E"/>
    <w:rsid w:val="00914D6F"/>
    <w:rsid w:val="00914D75"/>
    <w:rsid w:val="009161F4"/>
    <w:rsid w:val="00924003"/>
    <w:rsid w:val="00925775"/>
    <w:rsid w:val="00927529"/>
    <w:rsid w:val="00930B8C"/>
    <w:rsid w:val="00930DB1"/>
    <w:rsid w:val="00931881"/>
    <w:rsid w:val="00933C2E"/>
    <w:rsid w:val="00935998"/>
    <w:rsid w:val="0093655A"/>
    <w:rsid w:val="00937881"/>
    <w:rsid w:val="00944404"/>
    <w:rsid w:val="00950F90"/>
    <w:rsid w:val="009519AE"/>
    <w:rsid w:val="0095423F"/>
    <w:rsid w:val="0096317B"/>
    <w:rsid w:val="009720FF"/>
    <w:rsid w:val="00973293"/>
    <w:rsid w:val="0097415E"/>
    <w:rsid w:val="00975544"/>
    <w:rsid w:val="009757FD"/>
    <w:rsid w:val="009805DD"/>
    <w:rsid w:val="00983539"/>
    <w:rsid w:val="00985CB3"/>
    <w:rsid w:val="00985D05"/>
    <w:rsid w:val="0098601A"/>
    <w:rsid w:val="00986E3A"/>
    <w:rsid w:val="00990BF6"/>
    <w:rsid w:val="00991878"/>
    <w:rsid w:val="0099428D"/>
    <w:rsid w:val="009A0BD0"/>
    <w:rsid w:val="009A2562"/>
    <w:rsid w:val="009A3CFA"/>
    <w:rsid w:val="009A44BA"/>
    <w:rsid w:val="009A715F"/>
    <w:rsid w:val="009B17F4"/>
    <w:rsid w:val="009B1F01"/>
    <w:rsid w:val="009B2385"/>
    <w:rsid w:val="009B29C3"/>
    <w:rsid w:val="009B3CAF"/>
    <w:rsid w:val="009C26B8"/>
    <w:rsid w:val="009C2769"/>
    <w:rsid w:val="009C33CA"/>
    <w:rsid w:val="009C3EC4"/>
    <w:rsid w:val="009C4522"/>
    <w:rsid w:val="009C5CA9"/>
    <w:rsid w:val="009C5F5B"/>
    <w:rsid w:val="009C61FB"/>
    <w:rsid w:val="009C730E"/>
    <w:rsid w:val="009D27B6"/>
    <w:rsid w:val="009D2A4C"/>
    <w:rsid w:val="009D38C6"/>
    <w:rsid w:val="009E092E"/>
    <w:rsid w:val="009E34F2"/>
    <w:rsid w:val="009E546F"/>
    <w:rsid w:val="009E6707"/>
    <w:rsid w:val="009E6BA3"/>
    <w:rsid w:val="009E6E15"/>
    <w:rsid w:val="009E6EE3"/>
    <w:rsid w:val="009F029A"/>
    <w:rsid w:val="009F1475"/>
    <w:rsid w:val="009F3CBB"/>
    <w:rsid w:val="009F483D"/>
    <w:rsid w:val="009F4E29"/>
    <w:rsid w:val="009F53F5"/>
    <w:rsid w:val="009F54F5"/>
    <w:rsid w:val="009F738D"/>
    <w:rsid w:val="00A00428"/>
    <w:rsid w:val="00A006A9"/>
    <w:rsid w:val="00A018C8"/>
    <w:rsid w:val="00A0455A"/>
    <w:rsid w:val="00A06B34"/>
    <w:rsid w:val="00A07029"/>
    <w:rsid w:val="00A109D5"/>
    <w:rsid w:val="00A10E01"/>
    <w:rsid w:val="00A163FB"/>
    <w:rsid w:val="00A26153"/>
    <w:rsid w:val="00A30816"/>
    <w:rsid w:val="00A35604"/>
    <w:rsid w:val="00A401B5"/>
    <w:rsid w:val="00A43D5F"/>
    <w:rsid w:val="00A503D4"/>
    <w:rsid w:val="00A5186E"/>
    <w:rsid w:val="00A6507F"/>
    <w:rsid w:val="00A65E91"/>
    <w:rsid w:val="00A70A90"/>
    <w:rsid w:val="00A72375"/>
    <w:rsid w:val="00A730D4"/>
    <w:rsid w:val="00A80168"/>
    <w:rsid w:val="00A8181B"/>
    <w:rsid w:val="00A8299A"/>
    <w:rsid w:val="00A84F8A"/>
    <w:rsid w:val="00A85910"/>
    <w:rsid w:val="00A870DB"/>
    <w:rsid w:val="00A87E01"/>
    <w:rsid w:val="00A91A9F"/>
    <w:rsid w:val="00A93A33"/>
    <w:rsid w:val="00A93B17"/>
    <w:rsid w:val="00A948E5"/>
    <w:rsid w:val="00A9560A"/>
    <w:rsid w:val="00AA25A3"/>
    <w:rsid w:val="00AA6DCA"/>
    <w:rsid w:val="00AA78D1"/>
    <w:rsid w:val="00AA7C5B"/>
    <w:rsid w:val="00AB063B"/>
    <w:rsid w:val="00AB0C7D"/>
    <w:rsid w:val="00AB0F5D"/>
    <w:rsid w:val="00AB23D5"/>
    <w:rsid w:val="00AB2D24"/>
    <w:rsid w:val="00AB4E94"/>
    <w:rsid w:val="00AB5C8C"/>
    <w:rsid w:val="00AC1D32"/>
    <w:rsid w:val="00AC2D04"/>
    <w:rsid w:val="00AC2F10"/>
    <w:rsid w:val="00AC7540"/>
    <w:rsid w:val="00AC7E6B"/>
    <w:rsid w:val="00AD00BA"/>
    <w:rsid w:val="00AD12CA"/>
    <w:rsid w:val="00AD3CE7"/>
    <w:rsid w:val="00AD3EE7"/>
    <w:rsid w:val="00AD58A7"/>
    <w:rsid w:val="00AD5A61"/>
    <w:rsid w:val="00AD6436"/>
    <w:rsid w:val="00AE1E47"/>
    <w:rsid w:val="00AE20C6"/>
    <w:rsid w:val="00AE335D"/>
    <w:rsid w:val="00AF0FE9"/>
    <w:rsid w:val="00AF1EF1"/>
    <w:rsid w:val="00AF3A98"/>
    <w:rsid w:val="00AF3D57"/>
    <w:rsid w:val="00AF55E9"/>
    <w:rsid w:val="00AF76B3"/>
    <w:rsid w:val="00B0093E"/>
    <w:rsid w:val="00B02933"/>
    <w:rsid w:val="00B060E1"/>
    <w:rsid w:val="00B06437"/>
    <w:rsid w:val="00B114B1"/>
    <w:rsid w:val="00B138C5"/>
    <w:rsid w:val="00B13EC5"/>
    <w:rsid w:val="00B14985"/>
    <w:rsid w:val="00B1659B"/>
    <w:rsid w:val="00B202A9"/>
    <w:rsid w:val="00B251BA"/>
    <w:rsid w:val="00B25513"/>
    <w:rsid w:val="00B27D66"/>
    <w:rsid w:val="00B3255A"/>
    <w:rsid w:val="00B32F85"/>
    <w:rsid w:val="00B33B23"/>
    <w:rsid w:val="00B35E55"/>
    <w:rsid w:val="00B40A05"/>
    <w:rsid w:val="00B4119F"/>
    <w:rsid w:val="00B42037"/>
    <w:rsid w:val="00B42B55"/>
    <w:rsid w:val="00B45E26"/>
    <w:rsid w:val="00B47E18"/>
    <w:rsid w:val="00B5226E"/>
    <w:rsid w:val="00B539C5"/>
    <w:rsid w:val="00B563F6"/>
    <w:rsid w:val="00B5647A"/>
    <w:rsid w:val="00B6078B"/>
    <w:rsid w:val="00B616A8"/>
    <w:rsid w:val="00B649F7"/>
    <w:rsid w:val="00B655A1"/>
    <w:rsid w:val="00B700A9"/>
    <w:rsid w:val="00B70709"/>
    <w:rsid w:val="00B77C42"/>
    <w:rsid w:val="00B8044E"/>
    <w:rsid w:val="00B82110"/>
    <w:rsid w:val="00B8332C"/>
    <w:rsid w:val="00B83690"/>
    <w:rsid w:val="00B85D08"/>
    <w:rsid w:val="00B86D58"/>
    <w:rsid w:val="00B915A9"/>
    <w:rsid w:val="00B94A29"/>
    <w:rsid w:val="00BA0974"/>
    <w:rsid w:val="00BA1D3E"/>
    <w:rsid w:val="00BA2D8B"/>
    <w:rsid w:val="00BA666F"/>
    <w:rsid w:val="00BA6DFE"/>
    <w:rsid w:val="00BB141B"/>
    <w:rsid w:val="00BB2561"/>
    <w:rsid w:val="00BB3D77"/>
    <w:rsid w:val="00BB70A0"/>
    <w:rsid w:val="00BB7796"/>
    <w:rsid w:val="00BC043E"/>
    <w:rsid w:val="00BC568D"/>
    <w:rsid w:val="00BC56D6"/>
    <w:rsid w:val="00BD049A"/>
    <w:rsid w:val="00BD386B"/>
    <w:rsid w:val="00BD4D42"/>
    <w:rsid w:val="00BD7BAA"/>
    <w:rsid w:val="00BE0C73"/>
    <w:rsid w:val="00BE0F95"/>
    <w:rsid w:val="00BE2E71"/>
    <w:rsid w:val="00BE5C0F"/>
    <w:rsid w:val="00BE5D0B"/>
    <w:rsid w:val="00BF060F"/>
    <w:rsid w:val="00BF4508"/>
    <w:rsid w:val="00BF49F1"/>
    <w:rsid w:val="00C02217"/>
    <w:rsid w:val="00C02C14"/>
    <w:rsid w:val="00C02FED"/>
    <w:rsid w:val="00C0396A"/>
    <w:rsid w:val="00C04692"/>
    <w:rsid w:val="00C04985"/>
    <w:rsid w:val="00C04BBA"/>
    <w:rsid w:val="00C1449A"/>
    <w:rsid w:val="00C16398"/>
    <w:rsid w:val="00C242E6"/>
    <w:rsid w:val="00C24ADE"/>
    <w:rsid w:val="00C2691F"/>
    <w:rsid w:val="00C31BBB"/>
    <w:rsid w:val="00C3228A"/>
    <w:rsid w:val="00C353CB"/>
    <w:rsid w:val="00C35468"/>
    <w:rsid w:val="00C40118"/>
    <w:rsid w:val="00C41598"/>
    <w:rsid w:val="00C43010"/>
    <w:rsid w:val="00C43354"/>
    <w:rsid w:val="00C43D64"/>
    <w:rsid w:val="00C442F3"/>
    <w:rsid w:val="00C46340"/>
    <w:rsid w:val="00C47924"/>
    <w:rsid w:val="00C52C82"/>
    <w:rsid w:val="00C538BD"/>
    <w:rsid w:val="00C551E1"/>
    <w:rsid w:val="00C55692"/>
    <w:rsid w:val="00C55804"/>
    <w:rsid w:val="00C56D22"/>
    <w:rsid w:val="00C61A6F"/>
    <w:rsid w:val="00C62BD6"/>
    <w:rsid w:val="00C66456"/>
    <w:rsid w:val="00C72980"/>
    <w:rsid w:val="00C7454A"/>
    <w:rsid w:val="00C75067"/>
    <w:rsid w:val="00C76C7F"/>
    <w:rsid w:val="00C76E6C"/>
    <w:rsid w:val="00C77E7E"/>
    <w:rsid w:val="00C77F95"/>
    <w:rsid w:val="00C878C4"/>
    <w:rsid w:val="00C92F0D"/>
    <w:rsid w:val="00C939A4"/>
    <w:rsid w:val="00CA1115"/>
    <w:rsid w:val="00CA1B6A"/>
    <w:rsid w:val="00CA475A"/>
    <w:rsid w:val="00CB2FD6"/>
    <w:rsid w:val="00CB4034"/>
    <w:rsid w:val="00CB5E76"/>
    <w:rsid w:val="00CC078D"/>
    <w:rsid w:val="00CD464F"/>
    <w:rsid w:val="00CD51FD"/>
    <w:rsid w:val="00CD723A"/>
    <w:rsid w:val="00CE301D"/>
    <w:rsid w:val="00CE5A93"/>
    <w:rsid w:val="00CE79DF"/>
    <w:rsid w:val="00CF134C"/>
    <w:rsid w:val="00CF2151"/>
    <w:rsid w:val="00CF270C"/>
    <w:rsid w:val="00CF33A8"/>
    <w:rsid w:val="00CF4A09"/>
    <w:rsid w:val="00CF5178"/>
    <w:rsid w:val="00CF6453"/>
    <w:rsid w:val="00CF7F38"/>
    <w:rsid w:val="00D001C2"/>
    <w:rsid w:val="00D061B6"/>
    <w:rsid w:val="00D1028F"/>
    <w:rsid w:val="00D1060B"/>
    <w:rsid w:val="00D15D59"/>
    <w:rsid w:val="00D23D29"/>
    <w:rsid w:val="00D246FB"/>
    <w:rsid w:val="00D26597"/>
    <w:rsid w:val="00D31F73"/>
    <w:rsid w:val="00D34450"/>
    <w:rsid w:val="00D37CC7"/>
    <w:rsid w:val="00D4077C"/>
    <w:rsid w:val="00D40A41"/>
    <w:rsid w:val="00D42B0B"/>
    <w:rsid w:val="00D43731"/>
    <w:rsid w:val="00D438F5"/>
    <w:rsid w:val="00D44440"/>
    <w:rsid w:val="00D44B33"/>
    <w:rsid w:val="00D52EDA"/>
    <w:rsid w:val="00D54116"/>
    <w:rsid w:val="00D6084D"/>
    <w:rsid w:val="00D612ED"/>
    <w:rsid w:val="00D63B5C"/>
    <w:rsid w:val="00D66FFA"/>
    <w:rsid w:val="00D70879"/>
    <w:rsid w:val="00D7122C"/>
    <w:rsid w:val="00D71689"/>
    <w:rsid w:val="00D71CA5"/>
    <w:rsid w:val="00D71EB9"/>
    <w:rsid w:val="00D73220"/>
    <w:rsid w:val="00D74B44"/>
    <w:rsid w:val="00D756C2"/>
    <w:rsid w:val="00D774E6"/>
    <w:rsid w:val="00D8210D"/>
    <w:rsid w:val="00D825BF"/>
    <w:rsid w:val="00D85228"/>
    <w:rsid w:val="00D86430"/>
    <w:rsid w:val="00D86DD7"/>
    <w:rsid w:val="00D8738D"/>
    <w:rsid w:val="00D90080"/>
    <w:rsid w:val="00D929B4"/>
    <w:rsid w:val="00D93D02"/>
    <w:rsid w:val="00D94775"/>
    <w:rsid w:val="00D94F8A"/>
    <w:rsid w:val="00D96EA1"/>
    <w:rsid w:val="00DA0D31"/>
    <w:rsid w:val="00DA1A6F"/>
    <w:rsid w:val="00DA1D4F"/>
    <w:rsid w:val="00DB5F62"/>
    <w:rsid w:val="00DC47A0"/>
    <w:rsid w:val="00DC53C1"/>
    <w:rsid w:val="00DC65B4"/>
    <w:rsid w:val="00DD1FE3"/>
    <w:rsid w:val="00DD4076"/>
    <w:rsid w:val="00DD43D1"/>
    <w:rsid w:val="00DD509B"/>
    <w:rsid w:val="00DD7D83"/>
    <w:rsid w:val="00DE5534"/>
    <w:rsid w:val="00DF068D"/>
    <w:rsid w:val="00DF0B7D"/>
    <w:rsid w:val="00DF1F0F"/>
    <w:rsid w:val="00DF51F5"/>
    <w:rsid w:val="00E002C7"/>
    <w:rsid w:val="00E048E8"/>
    <w:rsid w:val="00E04D06"/>
    <w:rsid w:val="00E13B22"/>
    <w:rsid w:val="00E13D49"/>
    <w:rsid w:val="00E140E7"/>
    <w:rsid w:val="00E15889"/>
    <w:rsid w:val="00E15A7E"/>
    <w:rsid w:val="00E15D2F"/>
    <w:rsid w:val="00E17B74"/>
    <w:rsid w:val="00E237E7"/>
    <w:rsid w:val="00E23A36"/>
    <w:rsid w:val="00E2491E"/>
    <w:rsid w:val="00E254C6"/>
    <w:rsid w:val="00E27266"/>
    <w:rsid w:val="00E2773D"/>
    <w:rsid w:val="00E30932"/>
    <w:rsid w:val="00E34AB6"/>
    <w:rsid w:val="00E37B92"/>
    <w:rsid w:val="00E37D2C"/>
    <w:rsid w:val="00E45072"/>
    <w:rsid w:val="00E46D90"/>
    <w:rsid w:val="00E47695"/>
    <w:rsid w:val="00E47DCA"/>
    <w:rsid w:val="00E51B2B"/>
    <w:rsid w:val="00E524B2"/>
    <w:rsid w:val="00E54418"/>
    <w:rsid w:val="00E562CB"/>
    <w:rsid w:val="00E5675C"/>
    <w:rsid w:val="00E57A4F"/>
    <w:rsid w:val="00E61696"/>
    <w:rsid w:val="00E66B2F"/>
    <w:rsid w:val="00E75283"/>
    <w:rsid w:val="00E76100"/>
    <w:rsid w:val="00E765B8"/>
    <w:rsid w:val="00E7722D"/>
    <w:rsid w:val="00E778C8"/>
    <w:rsid w:val="00E80F4B"/>
    <w:rsid w:val="00E839E8"/>
    <w:rsid w:val="00E906FD"/>
    <w:rsid w:val="00E91235"/>
    <w:rsid w:val="00E91D1C"/>
    <w:rsid w:val="00E92E9D"/>
    <w:rsid w:val="00E97887"/>
    <w:rsid w:val="00EA1151"/>
    <w:rsid w:val="00EA242E"/>
    <w:rsid w:val="00EA3E62"/>
    <w:rsid w:val="00EA4488"/>
    <w:rsid w:val="00EA7194"/>
    <w:rsid w:val="00EB2444"/>
    <w:rsid w:val="00EB5748"/>
    <w:rsid w:val="00EC0F98"/>
    <w:rsid w:val="00EC28AA"/>
    <w:rsid w:val="00EC2BE7"/>
    <w:rsid w:val="00EC39CB"/>
    <w:rsid w:val="00EC3EA4"/>
    <w:rsid w:val="00EC4B1C"/>
    <w:rsid w:val="00EC6472"/>
    <w:rsid w:val="00ED5043"/>
    <w:rsid w:val="00EE3E23"/>
    <w:rsid w:val="00EE3E2E"/>
    <w:rsid w:val="00EE4EC6"/>
    <w:rsid w:val="00EE5C60"/>
    <w:rsid w:val="00EE6566"/>
    <w:rsid w:val="00EF1110"/>
    <w:rsid w:val="00EF1B65"/>
    <w:rsid w:val="00EF28AE"/>
    <w:rsid w:val="00EF6B44"/>
    <w:rsid w:val="00F00054"/>
    <w:rsid w:val="00F0035F"/>
    <w:rsid w:val="00F00434"/>
    <w:rsid w:val="00F00EF6"/>
    <w:rsid w:val="00F02BCA"/>
    <w:rsid w:val="00F03ADB"/>
    <w:rsid w:val="00F04C10"/>
    <w:rsid w:val="00F11109"/>
    <w:rsid w:val="00F11C26"/>
    <w:rsid w:val="00F16358"/>
    <w:rsid w:val="00F25D43"/>
    <w:rsid w:val="00F33604"/>
    <w:rsid w:val="00F416EF"/>
    <w:rsid w:val="00F41A73"/>
    <w:rsid w:val="00F41D06"/>
    <w:rsid w:val="00F425CE"/>
    <w:rsid w:val="00F4334C"/>
    <w:rsid w:val="00F44CE1"/>
    <w:rsid w:val="00F4722C"/>
    <w:rsid w:val="00F51017"/>
    <w:rsid w:val="00F51427"/>
    <w:rsid w:val="00F5556A"/>
    <w:rsid w:val="00F558D7"/>
    <w:rsid w:val="00F57632"/>
    <w:rsid w:val="00F57945"/>
    <w:rsid w:val="00F57C8C"/>
    <w:rsid w:val="00F60E7F"/>
    <w:rsid w:val="00F647A1"/>
    <w:rsid w:val="00F736A8"/>
    <w:rsid w:val="00F74E49"/>
    <w:rsid w:val="00F763AE"/>
    <w:rsid w:val="00F76669"/>
    <w:rsid w:val="00F77BDA"/>
    <w:rsid w:val="00F81708"/>
    <w:rsid w:val="00F82E70"/>
    <w:rsid w:val="00F861AB"/>
    <w:rsid w:val="00F87A77"/>
    <w:rsid w:val="00F904C5"/>
    <w:rsid w:val="00F945DA"/>
    <w:rsid w:val="00FA2711"/>
    <w:rsid w:val="00FA38A2"/>
    <w:rsid w:val="00FA70AF"/>
    <w:rsid w:val="00FA7812"/>
    <w:rsid w:val="00FB05F9"/>
    <w:rsid w:val="00FB1443"/>
    <w:rsid w:val="00FB372F"/>
    <w:rsid w:val="00FB7DC7"/>
    <w:rsid w:val="00FC0151"/>
    <w:rsid w:val="00FC01CD"/>
    <w:rsid w:val="00FC38D5"/>
    <w:rsid w:val="00FC4517"/>
    <w:rsid w:val="00FC509A"/>
    <w:rsid w:val="00FC6AF2"/>
    <w:rsid w:val="00FD01BD"/>
    <w:rsid w:val="00FD0CB9"/>
    <w:rsid w:val="00FD14B8"/>
    <w:rsid w:val="00FD20DB"/>
    <w:rsid w:val="00FD6248"/>
    <w:rsid w:val="00FD7449"/>
    <w:rsid w:val="00FE0701"/>
    <w:rsid w:val="00FE0AC7"/>
    <w:rsid w:val="00FE1E33"/>
    <w:rsid w:val="00FE38BB"/>
    <w:rsid w:val="00FE450C"/>
    <w:rsid w:val="00FE5A7F"/>
    <w:rsid w:val="00FF0DDD"/>
    <w:rsid w:val="00FF5420"/>
    <w:rsid w:val="00FF574B"/>
    <w:rsid w:val="00FF7F5F"/>
    <w:rsid w:val="015E5EF0"/>
    <w:rsid w:val="01DA2B06"/>
    <w:rsid w:val="01DBBE03"/>
    <w:rsid w:val="026F5986"/>
    <w:rsid w:val="031EF9EC"/>
    <w:rsid w:val="033C2553"/>
    <w:rsid w:val="035B8A7F"/>
    <w:rsid w:val="0413B6E2"/>
    <w:rsid w:val="044D0478"/>
    <w:rsid w:val="0497C39F"/>
    <w:rsid w:val="04E82FDF"/>
    <w:rsid w:val="0552D47D"/>
    <w:rsid w:val="059009C8"/>
    <w:rsid w:val="0593C7E3"/>
    <w:rsid w:val="05F8F21F"/>
    <w:rsid w:val="06B4A335"/>
    <w:rsid w:val="07430E6D"/>
    <w:rsid w:val="079D0779"/>
    <w:rsid w:val="07EFC9A3"/>
    <w:rsid w:val="07F62A96"/>
    <w:rsid w:val="089C356B"/>
    <w:rsid w:val="0926DD98"/>
    <w:rsid w:val="094F5CFD"/>
    <w:rsid w:val="09C5A44D"/>
    <w:rsid w:val="09CAF69E"/>
    <w:rsid w:val="0A66BCE2"/>
    <w:rsid w:val="0A69D900"/>
    <w:rsid w:val="0A9CE36C"/>
    <w:rsid w:val="0ABB03E3"/>
    <w:rsid w:val="0AEF5D74"/>
    <w:rsid w:val="0AFC44EE"/>
    <w:rsid w:val="0B387C9B"/>
    <w:rsid w:val="0B3C05A2"/>
    <w:rsid w:val="0B75048C"/>
    <w:rsid w:val="0BB53FA7"/>
    <w:rsid w:val="0BBCB25F"/>
    <w:rsid w:val="0BFC294D"/>
    <w:rsid w:val="0C6D0916"/>
    <w:rsid w:val="0CA6CACC"/>
    <w:rsid w:val="0D2A15FF"/>
    <w:rsid w:val="0D5A737C"/>
    <w:rsid w:val="0DE124F4"/>
    <w:rsid w:val="0E5B0A60"/>
    <w:rsid w:val="0E945084"/>
    <w:rsid w:val="0EB687D7"/>
    <w:rsid w:val="0ECEA5B2"/>
    <w:rsid w:val="0F9ED86D"/>
    <w:rsid w:val="0FE30EF6"/>
    <w:rsid w:val="0FE5CE40"/>
    <w:rsid w:val="0FEB9C58"/>
    <w:rsid w:val="104A4BFF"/>
    <w:rsid w:val="10D5B1CE"/>
    <w:rsid w:val="11125B95"/>
    <w:rsid w:val="11521E19"/>
    <w:rsid w:val="115FD086"/>
    <w:rsid w:val="11DA6BA7"/>
    <w:rsid w:val="128E284C"/>
    <w:rsid w:val="12B0D539"/>
    <w:rsid w:val="12E90507"/>
    <w:rsid w:val="12EBBD42"/>
    <w:rsid w:val="12F15941"/>
    <w:rsid w:val="12F345E2"/>
    <w:rsid w:val="13010F65"/>
    <w:rsid w:val="137D651A"/>
    <w:rsid w:val="13926370"/>
    <w:rsid w:val="15681307"/>
    <w:rsid w:val="15B19302"/>
    <w:rsid w:val="15D762F1"/>
    <w:rsid w:val="1643EAEE"/>
    <w:rsid w:val="177A16A2"/>
    <w:rsid w:val="17AF25B1"/>
    <w:rsid w:val="17FFDC7D"/>
    <w:rsid w:val="181569C9"/>
    <w:rsid w:val="18306543"/>
    <w:rsid w:val="18357564"/>
    <w:rsid w:val="1838A5E9"/>
    <w:rsid w:val="184A9617"/>
    <w:rsid w:val="18ED32C3"/>
    <w:rsid w:val="1907342E"/>
    <w:rsid w:val="198F92BD"/>
    <w:rsid w:val="1A0C3B81"/>
    <w:rsid w:val="1A215FDD"/>
    <w:rsid w:val="1A80DD31"/>
    <w:rsid w:val="1A82300F"/>
    <w:rsid w:val="1AE5CEA3"/>
    <w:rsid w:val="1B9A82CC"/>
    <w:rsid w:val="1BC8AE6F"/>
    <w:rsid w:val="1C871F62"/>
    <w:rsid w:val="1F84A2A0"/>
    <w:rsid w:val="1FD1C8CE"/>
    <w:rsid w:val="20204B10"/>
    <w:rsid w:val="2047B298"/>
    <w:rsid w:val="20945069"/>
    <w:rsid w:val="21057EE1"/>
    <w:rsid w:val="217B9E8C"/>
    <w:rsid w:val="219FDB3F"/>
    <w:rsid w:val="21BE66A3"/>
    <w:rsid w:val="21C9240F"/>
    <w:rsid w:val="235DBD9B"/>
    <w:rsid w:val="23B308C8"/>
    <w:rsid w:val="2406136A"/>
    <w:rsid w:val="25540A10"/>
    <w:rsid w:val="2606999A"/>
    <w:rsid w:val="265A46E5"/>
    <w:rsid w:val="277515CE"/>
    <w:rsid w:val="27F9AE2E"/>
    <w:rsid w:val="28C16063"/>
    <w:rsid w:val="28E30759"/>
    <w:rsid w:val="2949A58C"/>
    <w:rsid w:val="299AF081"/>
    <w:rsid w:val="29D4DF14"/>
    <w:rsid w:val="2A31D82C"/>
    <w:rsid w:val="2B06039F"/>
    <w:rsid w:val="2B2BA06E"/>
    <w:rsid w:val="2BD94AA3"/>
    <w:rsid w:val="2CA25736"/>
    <w:rsid w:val="2D395E06"/>
    <w:rsid w:val="2D876116"/>
    <w:rsid w:val="2DFD857A"/>
    <w:rsid w:val="2E611510"/>
    <w:rsid w:val="2E84C1E7"/>
    <w:rsid w:val="2E9FBE50"/>
    <w:rsid w:val="2EF3DFE0"/>
    <w:rsid w:val="2F530E78"/>
    <w:rsid w:val="2F5BF0EA"/>
    <w:rsid w:val="2F7B2F78"/>
    <w:rsid w:val="2F825799"/>
    <w:rsid w:val="30737CC4"/>
    <w:rsid w:val="3144F052"/>
    <w:rsid w:val="3180CEEF"/>
    <w:rsid w:val="320547E9"/>
    <w:rsid w:val="32558A36"/>
    <w:rsid w:val="33AB8B93"/>
    <w:rsid w:val="3410E58F"/>
    <w:rsid w:val="341F44E6"/>
    <w:rsid w:val="344B96D4"/>
    <w:rsid w:val="34FD73EA"/>
    <w:rsid w:val="351FD1A8"/>
    <w:rsid w:val="35C1556E"/>
    <w:rsid w:val="35F09C74"/>
    <w:rsid w:val="35F6197D"/>
    <w:rsid w:val="36627BC3"/>
    <w:rsid w:val="36C86617"/>
    <w:rsid w:val="36DAA7AD"/>
    <w:rsid w:val="37372005"/>
    <w:rsid w:val="37697F4E"/>
    <w:rsid w:val="3786DF5A"/>
    <w:rsid w:val="381E102D"/>
    <w:rsid w:val="3827D18E"/>
    <w:rsid w:val="389EC08B"/>
    <w:rsid w:val="38CA9205"/>
    <w:rsid w:val="3A4562E5"/>
    <w:rsid w:val="3B0428A9"/>
    <w:rsid w:val="3B31C70A"/>
    <w:rsid w:val="3B3514BF"/>
    <w:rsid w:val="3BA28E53"/>
    <w:rsid w:val="3BC8A127"/>
    <w:rsid w:val="3CBFD3CD"/>
    <w:rsid w:val="3CC4F805"/>
    <w:rsid w:val="3DAC6CF2"/>
    <w:rsid w:val="3DDF9C24"/>
    <w:rsid w:val="3E5FA189"/>
    <w:rsid w:val="3E94B2F0"/>
    <w:rsid w:val="3EC9C1C6"/>
    <w:rsid w:val="3F1E6053"/>
    <w:rsid w:val="3F614B3D"/>
    <w:rsid w:val="3F7A2908"/>
    <w:rsid w:val="3FD849F1"/>
    <w:rsid w:val="40230022"/>
    <w:rsid w:val="403AB93E"/>
    <w:rsid w:val="40588A26"/>
    <w:rsid w:val="409E0C4A"/>
    <w:rsid w:val="40B8CCDE"/>
    <w:rsid w:val="40D33B89"/>
    <w:rsid w:val="40E6FDAD"/>
    <w:rsid w:val="41ECA315"/>
    <w:rsid w:val="41FDA189"/>
    <w:rsid w:val="421FD912"/>
    <w:rsid w:val="428E753C"/>
    <w:rsid w:val="42B6ABE4"/>
    <w:rsid w:val="43AC0D47"/>
    <w:rsid w:val="43C81EB2"/>
    <w:rsid w:val="43F5ABBB"/>
    <w:rsid w:val="442C503B"/>
    <w:rsid w:val="4628AF94"/>
    <w:rsid w:val="46710FC5"/>
    <w:rsid w:val="4742C6C6"/>
    <w:rsid w:val="48153104"/>
    <w:rsid w:val="4825C4E0"/>
    <w:rsid w:val="48F281B2"/>
    <w:rsid w:val="491A28C5"/>
    <w:rsid w:val="491CD5A6"/>
    <w:rsid w:val="49369D88"/>
    <w:rsid w:val="4ACD7E16"/>
    <w:rsid w:val="4D1FD61E"/>
    <w:rsid w:val="4D4635C0"/>
    <w:rsid w:val="4DBEF23B"/>
    <w:rsid w:val="4DCF713F"/>
    <w:rsid w:val="4E1C285B"/>
    <w:rsid w:val="4E575641"/>
    <w:rsid w:val="4E6AA887"/>
    <w:rsid w:val="4EA25C6A"/>
    <w:rsid w:val="4F58FBA3"/>
    <w:rsid w:val="5001F24C"/>
    <w:rsid w:val="50129978"/>
    <w:rsid w:val="50222237"/>
    <w:rsid w:val="50478A63"/>
    <w:rsid w:val="518E6199"/>
    <w:rsid w:val="52A2953E"/>
    <w:rsid w:val="53628E9C"/>
    <w:rsid w:val="53BFB5A8"/>
    <w:rsid w:val="53C597E8"/>
    <w:rsid w:val="53C9C2A5"/>
    <w:rsid w:val="5532A775"/>
    <w:rsid w:val="5537C704"/>
    <w:rsid w:val="558808C7"/>
    <w:rsid w:val="563D3A3F"/>
    <w:rsid w:val="56405CE1"/>
    <w:rsid w:val="570EAF9E"/>
    <w:rsid w:val="5820BA3D"/>
    <w:rsid w:val="588ED264"/>
    <w:rsid w:val="590F4D30"/>
    <w:rsid w:val="594B7D1E"/>
    <w:rsid w:val="596E97C0"/>
    <w:rsid w:val="59F449CE"/>
    <w:rsid w:val="5A7FE9C8"/>
    <w:rsid w:val="5AE54C9F"/>
    <w:rsid w:val="5B666A1F"/>
    <w:rsid w:val="5BA97BB6"/>
    <w:rsid w:val="5C3715ED"/>
    <w:rsid w:val="5C4A9387"/>
    <w:rsid w:val="5CCD2653"/>
    <w:rsid w:val="5D2EAB0D"/>
    <w:rsid w:val="5D485E48"/>
    <w:rsid w:val="5D5C6D53"/>
    <w:rsid w:val="5D6C5796"/>
    <w:rsid w:val="5DE55A8D"/>
    <w:rsid w:val="5E1254DD"/>
    <w:rsid w:val="5E59CF2A"/>
    <w:rsid w:val="5E5E8947"/>
    <w:rsid w:val="5E6C9070"/>
    <w:rsid w:val="5E71F65B"/>
    <w:rsid w:val="5F2B4753"/>
    <w:rsid w:val="5F64C54C"/>
    <w:rsid w:val="5F73DA8F"/>
    <w:rsid w:val="5F94DBC7"/>
    <w:rsid w:val="5FCC3D32"/>
    <w:rsid w:val="61E7C077"/>
    <w:rsid w:val="62011DC0"/>
    <w:rsid w:val="629396FC"/>
    <w:rsid w:val="62AA41B1"/>
    <w:rsid w:val="635FA621"/>
    <w:rsid w:val="6410DF74"/>
    <w:rsid w:val="64264102"/>
    <w:rsid w:val="64424D3A"/>
    <w:rsid w:val="64B6E0FB"/>
    <w:rsid w:val="6570502D"/>
    <w:rsid w:val="65771ACD"/>
    <w:rsid w:val="65D6CFC6"/>
    <w:rsid w:val="66227F8E"/>
    <w:rsid w:val="66F5740D"/>
    <w:rsid w:val="69850A23"/>
    <w:rsid w:val="69A3F892"/>
    <w:rsid w:val="69C42142"/>
    <w:rsid w:val="6B18B829"/>
    <w:rsid w:val="6B43BBF6"/>
    <w:rsid w:val="6B6512D3"/>
    <w:rsid w:val="6C619BDE"/>
    <w:rsid w:val="6D021329"/>
    <w:rsid w:val="6D3AE7F9"/>
    <w:rsid w:val="6E4E5C60"/>
    <w:rsid w:val="6E6EB14D"/>
    <w:rsid w:val="6E759BDA"/>
    <w:rsid w:val="6F3E8420"/>
    <w:rsid w:val="6F5CCEBF"/>
    <w:rsid w:val="6F674342"/>
    <w:rsid w:val="6FD68C63"/>
    <w:rsid w:val="705DD3DD"/>
    <w:rsid w:val="7082124D"/>
    <w:rsid w:val="70C939E0"/>
    <w:rsid w:val="70D108CB"/>
    <w:rsid w:val="711FCCD4"/>
    <w:rsid w:val="713449F5"/>
    <w:rsid w:val="717D65EB"/>
    <w:rsid w:val="71829353"/>
    <w:rsid w:val="72A18695"/>
    <w:rsid w:val="72CEBDDF"/>
    <w:rsid w:val="7369C265"/>
    <w:rsid w:val="73B5A179"/>
    <w:rsid w:val="73E96654"/>
    <w:rsid w:val="748403D8"/>
    <w:rsid w:val="74E034C4"/>
    <w:rsid w:val="74F97476"/>
    <w:rsid w:val="7566D4B6"/>
    <w:rsid w:val="756928C7"/>
    <w:rsid w:val="75A05C97"/>
    <w:rsid w:val="76D15926"/>
    <w:rsid w:val="78925131"/>
    <w:rsid w:val="79FBE9AA"/>
    <w:rsid w:val="7A0B2A76"/>
    <w:rsid w:val="7A226065"/>
    <w:rsid w:val="7A42C8BE"/>
    <w:rsid w:val="7A8F0983"/>
    <w:rsid w:val="7AD202E0"/>
    <w:rsid w:val="7AEEC8DE"/>
    <w:rsid w:val="7B00EEC0"/>
    <w:rsid w:val="7B137B33"/>
    <w:rsid w:val="7BB6760E"/>
    <w:rsid w:val="7C4D73BC"/>
    <w:rsid w:val="7E1A257B"/>
    <w:rsid w:val="7EDFB8F8"/>
    <w:rsid w:val="7EF1D6BD"/>
    <w:rsid w:val="7FDD49B5"/>
    <w:rsid w:val="7FE4ABC7"/>
  </w:rsids>
  <m:mathPr>
    <m:mathFont m:val="Cambria Math"/>
    <m:brkBin m:val="before"/>
    <m:brkBinSub m:val="--"/>
    <m:smallFrac m:val="0"/>
    <m:dispDef/>
    <m:lMargin m:val="0"/>
    <m:rMargin m:val="0"/>
    <m:defJc m:val="centerGroup"/>
    <m:wrapIndent m:val="1440"/>
    <m:intLim m:val="subSup"/>
    <m:naryLim m:val="undOvr"/>
  </m:mathPr>
  <w:themeFontLang w:val="fr-FR" w:eastAsia="ja-JP" w:bidi="my-MM"/>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66FDF6"/>
  <w15:docId w15:val="{0971E96D-3F81-4E6B-94CC-8EA795C5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hidden/>
    <w:rsid w:val="006C23BB"/>
    <w:pPr>
      <w:spacing w:line="264" w:lineRule="auto"/>
      <w:jc w:val="both"/>
    </w:pPr>
    <w:rPr>
      <w:rFonts w:asciiTheme="minorHAnsi" w:hAnsiTheme="minorHAnsi"/>
      <w:sz w:val="24"/>
      <w:lang w:val="pl-PL"/>
    </w:rPr>
  </w:style>
  <w:style w:type="paragraph" w:styleId="Heading1">
    <w:name w:val="heading 1"/>
    <w:basedOn w:val="Normal"/>
    <w:next w:val="Normal"/>
    <w:uiPriority w:val="9"/>
    <w:qFormat/>
    <w:rsid w:val="00D54116"/>
    <w:pPr>
      <w:keepNext/>
      <w:keepLines/>
      <w:spacing w:before="480"/>
      <w:outlineLvl w:val="0"/>
    </w:pPr>
    <w:rPr>
      <w:rFonts w:asciiTheme="majorHAnsi" w:eastAsiaTheme="majorEastAsia" w:hAnsiTheme="majorHAnsi" w:cstheme="majorBidi"/>
      <w:b/>
      <w:bCs/>
      <w:color w:val="00A76C" w:themeColor="accent6"/>
      <w:sz w:val="28"/>
      <w:szCs w:val="28"/>
    </w:rPr>
  </w:style>
  <w:style w:type="paragraph" w:styleId="Heading2">
    <w:name w:val="heading 2"/>
    <w:basedOn w:val="Normal"/>
    <w:next w:val="Normal"/>
    <w:uiPriority w:val="9"/>
    <w:semiHidden/>
    <w:unhideWhenUsed/>
    <w:qFormat/>
    <w:rsid w:val="009F029A"/>
    <w:pPr>
      <w:keepNext/>
      <w:keepLines/>
      <w:spacing w:before="40"/>
      <w:outlineLvl w:val="1"/>
    </w:pPr>
    <w:rPr>
      <w:rFonts w:asciiTheme="majorHAnsi" w:eastAsiaTheme="majorEastAsia" w:hAnsiTheme="majorHAnsi" w:cstheme="majorBidi"/>
      <w:color w:val="007D5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4116"/>
    <w:rPr>
      <w:color w:val="00A76C" w:themeColor="accent6"/>
      <w:u w:val="none"/>
    </w:rPr>
  </w:style>
  <w:style w:type="paragraph" w:customStyle="1" w:styleId="Pied-mentions-G">
    <w:name w:val="Pied-mentions-G"/>
    <w:basedOn w:val="Normal"/>
    <w:qFormat/>
    <w:rsid w:val="002C15E8"/>
    <w:pPr>
      <w:tabs>
        <w:tab w:val="center" w:pos="5245"/>
        <w:tab w:val="right" w:pos="10632"/>
      </w:tabs>
    </w:pPr>
    <w:rPr>
      <w:sz w:val="16"/>
      <w:szCs w:val="16"/>
    </w:rPr>
  </w:style>
  <w:style w:type="paragraph" w:customStyle="1" w:styleId="Pied-mentions-M">
    <w:name w:val="Pied-mentions-M"/>
    <w:basedOn w:val="Normal"/>
    <w:qFormat/>
    <w:rsid w:val="002C15E8"/>
    <w:pPr>
      <w:tabs>
        <w:tab w:val="center" w:pos="5245"/>
        <w:tab w:val="right" w:pos="10632"/>
      </w:tabs>
      <w:jc w:val="center"/>
    </w:pPr>
    <w:rPr>
      <w:color w:val="939598" w:themeColor="text2"/>
      <w:sz w:val="16"/>
      <w:szCs w:val="16"/>
    </w:rPr>
  </w:style>
  <w:style w:type="character" w:customStyle="1" w:styleId="TitleChar1">
    <w:name w:val="Title Char1"/>
    <w:basedOn w:val="DefaultParagraphFont"/>
    <w:uiPriority w:val="10"/>
    <w:rsid w:val="006047A4"/>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uiPriority w:val="11"/>
    <w:rsid w:val="006047A4"/>
    <w:rPr>
      <w:rFonts w:asciiTheme="minorHAnsi" w:eastAsiaTheme="majorEastAsia" w:hAnsiTheme="minorHAnsi" w:cstheme="majorBidi"/>
      <w:color w:val="595959" w:themeColor="text1" w:themeTint="A6"/>
      <w:spacing w:val="15"/>
      <w:sz w:val="28"/>
      <w:szCs w:val="28"/>
    </w:rPr>
  </w:style>
  <w:style w:type="character" w:customStyle="1" w:styleId="BalloonTextChar1">
    <w:name w:val="Balloon Text Char1"/>
    <w:basedOn w:val="DefaultParagraphFont"/>
    <w:uiPriority w:val="99"/>
    <w:semiHidden/>
    <w:rsid w:val="006047A4"/>
    <w:rPr>
      <w:rFonts w:ascii="Segoe UI" w:hAnsi="Segoe UI" w:cs="Segoe UI"/>
      <w:sz w:val="18"/>
      <w:szCs w:val="18"/>
    </w:rPr>
  </w:style>
  <w:style w:type="character" w:customStyle="1" w:styleId="BodyTextChar1">
    <w:name w:val="Body Text Char1"/>
    <w:basedOn w:val="DefaultParagraphFont"/>
    <w:uiPriority w:val="1"/>
    <w:semiHidden/>
    <w:rsid w:val="006047A4"/>
    <w:rPr>
      <w:rFonts w:asciiTheme="minorHAnsi" w:hAnsiTheme="minorHAnsi"/>
      <w:sz w:val="24"/>
    </w:rPr>
  </w:style>
  <w:style w:type="character" w:customStyle="1" w:styleId="FootnoteTextChar1">
    <w:name w:val="Footnote Text Char1"/>
    <w:basedOn w:val="DefaultParagraphFont"/>
    <w:uiPriority w:val="99"/>
    <w:semiHidden/>
    <w:rsid w:val="006047A4"/>
    <w:rPr>
      <w:rFonts w:asciiTheme="minorHAnsi" w:hAnsiTheme="minorHAnsi"/>
    </w:rPr>
  </w:style>
  <w:style w:type="character" w:customStyle="1" w:styleId="CommentTextChar1">
    <w:name w:val="Comment Text Char1"/>
    <w:basedOn w:val="DefaultParagraphFont"/>
    <w:uiPriority w:val="99"/>
    <w:semiHidden/>
    <w:rsid w:val="006047A4"/>
    <w:rPr>
      <w:rFonts w:asciiTheme="minorHAnsi" w:hAnsiTheme="minorHAnsi"/>
    </w:rPr>
  </w:style>
  <w:style w:type="character" w:customStyle="1" w:styleId="CommentSubjectChar1">
    <w:name w:val="Comment Subject Char1"/>
    <w:basedOn w:val="CommentTextChar1"/>
    <w:uiPriority w:val="99"/>
    <w:semiHidden/>
    <w:rsid w:val="006047A4"/>
    <w:rPr>
      <w:rFonts w:asciiTheme="minorHAnsi" w:hAnsiTheme="minorHAnsi"/>
      <w:b/>
      <w:bCs/>
    </w:rPr>
  </w:style>
  <w:style w:type="paragraph" w:styleId="ListParagraph">
    <w:name w:val="List Paragraph"/>
    <w:basedOn w:val="Normal"/>
    <w:uiPriority w:val="34"/>
    <w:qFormat/>
    <w:rsid w:val="00500B0D"/>
    <w:pPr>
      <w:ind w:left="720"/>
      <w:contextualSpacing/>
    </w:pPr>
  </w:style>
  <w:style w:type="paragraph" w:styleId="NormalWeb">
    <w:name w:val="Normal (Web)"/>
    <w:basedOn w:val="Normal"/>
    <w:uiPriority w:val="99"/>
    <w:unhideWhenUsed/>
    <w:rsid w:val="00500B0D"/>
    <w:pPr>
      <w:spacing w:after="210" w:line="210" w:lineRule="atLeast"/>
    </w:pPr>
    <w:rPr>
      <w:rFonts w:ascii="Times New Roman" w:eastAsia="Times New Roman" w:hAnsi="Times New Roman"/>
      <w:sz w:val="17"/>
      <w:szCs w:val="17"/>
      <w:lang w:eastAsia="fr-FR"/>
    </w:rPr>
  </w:style>
  <w:style w:type="character" w:styleId="Strong">
    <w:name w:val="Strong"/>
    <w:basedOn w:val="DefaultParagraphFont"/>
    <w:uiPriority w:val="22"/>
    <w:qFormat/>
    <w:rsid w:val="00500B0D"/>
    <w:rPr>
      <w:b/>
      <w:bCs/>
    </w:rPr>
  </w:style>
  <w:style w:type="character" w:styleId="FootnoteReference">
    <w:name w:val="footnote reference"/>
    <w:basedOn w:val="DefaultParagraphFont"/>
    <w:uiPriority w:val="99"/>
    <w:semiHidden/>
    <w:unhideWhenUsed/>
    <w:rsid w:val="002A35CF"/>
    <w:rPr>
      <w:vertAlign w:val="superscript"/>
    </w:rPr>
  </w:style>
  <w:style w:type="paragraph" w:customStyle="1" w:styleId="s5">
    <w:name w:val="s5"/>
    <w:basedOn w:val="Normal"/>
    <w:rsid w:val="00CF5178"/>
    <w:pPr>
      <w:spacing w:before="100" w:beforeAutospacing="1" w:after="100" w:afterAutospacing="1" w:line="240" w:lineRule="auto"/>
      <w:jc w:val="left"/>
    </w:pPr>
    <w:rPr>
      <w:rFonts w:ascii="Times New Roman" w:eastAsia="Times New Roman" w:hAnsi="Times New Roman"/>
      <w:szCs w:val="24"/>
      <w:lang w:eastAsia="fr-FR"/>
    </w:rPr>
  </w:style>
  <w:style w:type="character" w:styleId="PlaceholderText">
    <w:name w:val="Placeholder Text"/>
    <w:basedOn w:val="DefaultParagraphFont"/>
    <w:uiPriority w:val="99"/>
    <w:semiHidden/>
    <w:rsid w:val="00CF5178"/>
    <w:rPr>
      <w:color w:val="808080"/>
    </w:rPr>
  </w:style>
  <w:style w:type="paragraph" w:styleId="Caption">
    <w:name w:val="caption"/>
    <w:basedOn w:val="Normal"/>
    <w:next w:val="Normal"/>
    <w:uiPriority w:val="35"/>
    <w:unhideWhenUsed/>
    <w:qFormat/>
    <w:rsid w:val="003B1426"/>
    <w:pPr>
      <w:spacing w:after="200" w:line="240" w:lineRule="auto"/>
    </w:pPr>
    <w:rPr>
      <w:i/>
      <w:iCs/>
      <w:color w:val="939598" w:themeColor="text2"/>
      <w:sz w:val="18"/>
      <w:szCs w:val="18"/>
    </w:rPr>
  </w:style>
  <w:style w:type="paragraph" w:customStyle="1" w:styleId="1Gutachten">
    <w:name w:val="1 Gutachten"/>
    <w:rsid w:val="00D1060B"/>
    <w:pPr>
      <w:spacing w:after="340" w:line="340" w:lineRule="atLeast"/>
      <w:jc w:val="both"/>
    </w:pPr>
    <w:rPr>
      <w:rFonts w:ascii="Arial" w:eastAsia="Times New Roman" w:hAnsi="Arial"/>
      <w:sz w:val="22"/>
      <w:lang w:val="de-DE" w:eastAsia="fr-FR"/>
    </w:rPr>
  </w:style>
  <w:style w:type="paragraph" w:customStyle="1" w:styleId="xmsonormal">
    <w:name w:val="x_msonormal"/>
    <w:basedOn w:val="Normal"/>
    <w:rsid w:val="00304464"/>
    <w:pPr>
      <w:spacing w:before="100" w:beforeAutospacing="1" w:after="100" w:afterAutospacing="1" w:line="240" w:lineRule="auto"/>
      <w:jc w:val="left"/>
    </w:pPr>
    <w:rPr>
      <w:rFonts w:ascii="Times New Roman" w:eastAsia="Times New Roman" w:hAnsi="Times New Roman"/>
      <w:szCs w:val="24"/>
      <w:lang w:eastAsia="fr-FR"/>
    </w:rPr>
  </w:style>
  <w:style w:type="character" w:customStyle="1" w:styleId="ident11121827">
    <w:name w:val="ident_1112_1827"/>
    <w:basedOn w:val="DefaultParagraphFont"/>
    <w:rsid w:val="00304464"/>
  </w:style>
  <w:style w:type="paragraph" w:customStyle="1" w:styleId="Default">
    <w:name w:val="Default"/>
    <w:rsid w:val="00752A0B"/>
    <w:pPr>
      <w:autoSpaceDE w:val="0"/>
      <w:autoSpaceDN w:val="0"/>
      <w:adjustRightInd w:val="0"/>
    </w:pPr>
    <w:rPr>
      <w:rFonts w:ascii="Arial" w:hAnsi="Arial" w:cs="Arial"/>
      <w:color w:val="000000"/>
      <w:sz w:val="24"/>
      <w:szCs w:val="24"/>
      <w:lang w:val="en-GB"/>
    </w:rPr>
  </w:style>
  <w:style w:type="paragraph" w:styleId="NoSpacing">
    <w:name w:val="No Spacing"/>
    <w:uiPriority w:val="1"/>
    <w:qFormat/>
    <w:rsid w:val="00CE79DF"/>
    <w:rPr>
      <w:rFonts w:ascii="Helvetica 45 Light" w:eastAsia="Times New Roman" w:hAnsi="Helvetica 45 Light"/>
      <w:sz w:val="22"/>
      <w:szCs w:val="24"/>
      <w:lang w:val="en-GB"/>
    </w:rPr>
  </w:style>
  <w:style w:type="character" w:styleId="UnresolvedMention">
    <w:name w:val="Unresolved Mention"/>
    <w:basedOn w:val="DefaultParagraphFont"/>
    <w:uiPriority w:val="99"/>
    <w:semiHidden/>
    <w:unhideWhenUsed/>
    <w:rsid w:val="00D612ED"/>
    <w:rPr>
      <w:color w:val="605E5C"/>
      <w:shd w:val="clear" w:color="auto" w:fill="E1DFDD"/>
    </w:rPr>
  </w:style>
  <w:style w:type="character" w:styleId="CommentReference">
    <w:name w:val="annotation reference"/>
    <w:basedOn w:val="DefaultParagraphFont"/>
    <w:uiPriority w:val="99"/>
    <w:semiHidden/>
    <w:unhideWhenUsed/>
    <w:rsid w:val="00D612ED"/>
    <w:rPr>
      <w:sz w:val="16"/>
      <w:szCs w:val="16"/>
    </w:rPr>
  </w:style>
  <w:style w:type="paragraph" w:styleId="Revision">
    <w:name w:val="Revision"/>
    <w:hidden/>
    <w:uiPriority w:val="99"/>
    <w:semiHidden/>
    <w:rsid w:val="00AA25A3"/>
    <w:rPr>
      <w:rFonts w:asciiTheme="minorHAnsi" w:hAnsiTheme="minorHAnsi"/>
      <w:sz w:val="24"/>
    </w:rPr>
  </w:style>
  <w:style w:type="character" w:customStyle="1" w:styleId="normaltextrun">
    <w:name w:val="normaltextrun"/>
    <w:basedOn w:val="DefaultParagraphFont"/>
    <w:rsid w:val="004E35A9"/>
  </w:style>
  <w:style w:type="character" w:customStyle="1" w:styleId="eop">
    <w:name w:val="eop"/>
    <w:basedOn w:val="DefaultParagraphFont"/>
    <w:rsid w:val="004E35A9"/>
  </w:style>
  <w:style w:type="paragraph" w:customStyle="1" w:styleId="paragraph">
    <w:name w:val="paragraph"/>
    <w:basedOn w:val="Normal"/>
    <w:rsid w:val="004E35A9"/>
    <w:pPr>
      <w:spacing w:before="100" w:beforeAutospacing="1" w:after="100" w:afterAutospacing="1" w:line="240" w:lineRule="auto"/>
      <w:jc w:val="left"/>
    </w:pPr>
    <w:rPr>
      <w:rFonts w:ascii="Times New Roman" w:eastAsia="Times New Roman" w:hAnsi="Times New Roman"/>
      <w:szCs w:val="24"/>
      <w:lang w:eastAsia="pl-PL"/>
    </w:rPr>
  </w:style>
  <w:style w:type="character" w:customStyle="1" w:styleId="Heading1Char">
    <w:name w:val="Heading 1 Char"/>
    <w:basedOn w:val="DefaultParagraphFont"/>
    <w:uiPriority w:val="9"/>
    <w:rsid w:val="006C23BB"/>
    <w:rPr>
      <w:rFonts w:asciiTheme="majorHAnsi" w:eastAsiaTheme="majorEastAsia" w:hAnsiTheme="majorHAnsi" w:cstheme="majorBidi"/>
      <w:b/>
      <w:bCs/>
      <w:color w:val="00A76C" w:themeColor="accent6"/>
      <w:sz w:val="28"/>
      <w:szCs w:val="28"/>
    </w:rPr>
  </w:style>
  <w:style w:type="character" w:customStyle="1" w:styleId="FooterChar">
    <w:name w:val="Footer Char"/>
    <w:basedOn w:val="DefaultParagraphFont"/>
    <w:uiPriority w:val="99"/>
    <w:rsid w:val="006C23BB"/>
    <w:rPr>
      <w:rFonts w:asciiTheme="minorHAnsi" w:hAnsiTheme="minorHAnsi"/>
      <w:sz w:val="12"/>
    </w:rPr>
  </w:style>
  <w:style w:type="character" w:customStyle="1" w:styleId="HeaderChar">
    <w:name w:val="Header Char"/>
    <w:basedOn w:val="DefaultParagraphFont"/>
    <w:uiPriority w:val="99"/>
    <w:rsid w:val="006C23BB"/>
    <w:rPr>
      <w:rFonts w:asciiTheme="minorHAnsi" w:hAnsiTheme="minorHAnsi"/>
    </w:rPr>
  </w:style>
  <w:style w:type="character" w:customStyle="1" w:styleId="Heading2Char">
    <w:name w:val="Heading 2 Char"/>
    <w:basedOn w:val="DefaultParagraphFont"/>
    <w:uiPriority w:val="9"/>
    <w:semiHidden/>
    <w:rsid w:val="006C23BB"/>
    <w:rPr>
      <w:rFonts w:asciiTheme="majorHAnsi" w:eastAsiaTheme="majorEastAsia" w:hAnsiTheme="majorHAnsi" w:cstheme="majorBidi"/>
      <w:color w:val="007D50" w:themeColor="accent1" w:themeShade="BF"/>
      <w:sz w:val="26"/>
      <w:szCs w:val="26"/>
    </w:rPr>
  </w:style>
  <w:style w:type="character" w:customStyle="1" w:styleId="NagwekZnak">
    <w:name w:val="Nagłówek Znak"/>
    <w:basedOn w:val="DefaultParagraphFont"/>
    <w:uiPriority w:val="99"/>
    <w:semiHidden/>
    <w:rsid w:val="00437376"/>
    <w:rPr>
      <w:rFonts w:asciiTheme="minorHAnsi" w:hAnsiTheme="minorHAnsi"/>
      <w:sz w:val="24"/>
    </w:rPr>
  </w:style>
  <w:style w:type="character" w:customStyle="1" w:styleId="StopkaZnak">
    <w:name w:val="Stopka Znak"/>
    <w:basedOn w:val="DefaultParagraphFont"/>
    <w:uiPriority w:val="99"/>
    <w:semiHidden/>
    <w:rsid w:val="00437376"/>
    <w:rPr>
      <w:rFonts w:asciiTheme="minorHAnsi" w:hAnsiTheme="minorHAnsi"/>
      <w:sz w:val="24"/>
    </w:rPr>
  </w:style>
  <w:style w:type="character" w:customStyle="1" w:styleId="TekstkomentarzaZnak">
    <w:name w:val="Tekst komentarza Znak"/>
    <w:basedOn w:val="DefaultParagraphFont"/>
    <w:uiPriority w:val="99"/>
    <w:rsid w:val="00437376"/>
    <w:rPr>
      <w:rFonts w:asciiTheme="minorHAnsi" w:hAnsiTheme="minorHAnsi"/>
    </w:rPr>
  </w:style>
  <w:style w:type="character" w:customStyle="1" w:styleId="TematkomentarzaZnak">
    <w:name w:val="Temat komentarza Znak"/>
    <w:basedOn w:val="TekstkomentarzaZnak"/>
    <w:uiPriority w:val="99"/>
    <w:semiHidden/>
    <w:rsid w:val="00437376"/>
    <w:rPr>
      <w:rFonts w:asciiTheme="minorHAnsi" w:hAnsiTheme="minorHAnsi"/>
      <w:b/>
      <w:bCs/>
    </w:rPr>
  </w:style>
  <w:style w:type="paragraph" w:styleId="CommentText">
    <w:name w:val="annotation text"/>
    <w:basedOn w:val="Normal"/>
    <w:link w:val="CommentTextChar"/>
    <w:uiPriority w:val="99"/>
    <w:unhideWhenUsed/>
    <w:rsid w:val="00370AB4"/>
    <w:pPr>
      <w:spacing w:line="240" w:lineRule="auto"/>
    </w:pPr>
    <w:rPr>
      <w:sz w:val="20"/>
    </w:rPr>
  </w:style>
  <w:style w:type="character" w:customStyle="1" w:styleId="CommentTextChar">
    <w:name w:val="Comment Text Char"/>
    <w:basedOn w:val="DefaultParagraphFont"/>
    <w:link w:val="CommentText"/>
    <w:uiPriority w:val="99"/>
    <w:rsid w:val="00370AB4"/>
    <w:rPr>
      <w:rFonts w:asciiTheme="minorHAnsi" w:hAnsiTheme="minorHAnsi"/>
      <w:lang w:val="pl-PL"/>
    </w:rPr>
  </w:style>
  <w:style w:type="paragraph" w:styleId="CommentSubject">
    <w:name w:val="annotation subject"/>
    <w:basedOn w:val="CommentText"/>
    <w:next w:val="CommentText"/>
    <w:link w:val="CommentSubjectChar"/>
    <w:uiPriority w:val="99"/>
    <w:semiHidden/>
    <w:unhideWhenUsed/>
    <w:rsid w:val="00370AB4"/>
    <w:rPr>
      <w:b/>
      <w:bCs/>
    </w:rPr>
  </w:style>
  <w:style w:type="character" w:customStyle="1" w:styleId="CommentSubjectChar">
    <w:name w:val="Comment Subject Char"/>
    <w:basedOn w:val="CommentTextChar"/>
    <w:link w:val="CommentSubject"/>
    <w:uiPriority w:val="99"/>
    <w:semiHidden/>
    <w:rsid w:val="00370AB4"/>
    <w:rPr>
      <w:rFonts w:asciiTheme="minorHAnsi" w:hAnsiTheme="minorHAnsi"/>
      <w:b/>
      <w:bCs/>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1930">
      <w:bodyDiv w:val="1"/>
      <w:marLeft w:val="0"/>
      <w:marRight w:val="0"/>
      <w:marTop w:val="0"/>
      <w:marBottom w:val="0"/>
      <w:divBdr>
        <w:top w:val="none" w:sz="0" w:space="0" w:color="auto"/>
        <w:left w:val="none" w:sz="0" w:space="0" w:color="auto"/>
        <w:bottom w:val="none" w:sz="0" w:space="0" w:color="auto"/>
        <w:right w:val="none" w:sz="0" w:space="0" w:color="auto"/>
      </w:divBdr>
    </w:div>
    <w:div w:id="27148343">
      <w:bodyDiv w:val="1"/>
      <w:marLeft w:val="0"/>
      <w:marRight w:val="0"/>
      <w:marTop w:val="0"/>
      <w:marBottom w:val="0"/>
      <w:divBdr>
        <w:top w:val="none" w:sz="0" w:space="0" w:color="auto"/>
        <w:left w:val="none" w:sz="0" w:space="0" w:color="auto"/>
        <w:bottom w:val="none" w:sz="0" w:space="0" w:color="auto"/>
        <w:right w:val="none" w:sz="0" w:space="0" w:color="auto"/>
      </w:divBdr>
    </w:div>
    <w:div w:id="305670415">
      <w:bodyDiv w:val="1"/>
      <w:marLeft w:val="0"/>
      <w:marRight w:val="0"/>
      <w:marTop w:val="0"/>
      <w:marBottom w:val="0"/>
      <w:divBdr>
        <w:top w:val="none" w:sz="0" w:space="0" w:color="auto"/>
        <w:left w:val="none" w:sz="0" w:space="0" w:color="auto"/>
        <w:bottom w:val="none" w:sz="0" w:space="0" w:color="auto"/>
        <w:right w:val="none" w:sz="0" w:space="0" w:color="auto"/>
      </w:divBdr>
      <w:divsChild>
        <w:div w:id="1405882560">
          <w:marLeft w:val="0"/>
          <w:marRight w:val="0"/>
          <w:marTop w:val="0"/>
          <w:marBottom w:val="0"/>
          <w:divBdr>
            <w:top w:val="none" w:sz="0" w:space="0" w:color="auto"/>
            <w:left w:val="none" w:sz="0" w:space="0" w:color="auto"/>
            <w:bottom w:val="none" w:sz="0" w:space="0" w:color="auto"/>
            <w:right w:val="none" w:sz="0" w:space="0" w:color="auto"/>
          </w:divBdr>
        </w:div>
      </w:divsChild>
    </w:div>
    <w:div w:id="397290803">
      <w:bodyDiv w:val="1"/>
      <w:marLeft w:val="0"/>
      <w:marRight w:val="0"/>
      <w:marTop w:val="0"/>
      <w:marBottom w:val="0"/>
      <w:divBdr>
        <w:top w:val="none" w:sz="0" w:space="0" w:color="auto"/>
        <w:left w:val="none" w:sz="0" w:space="0" w:color="auto"/>
        <w:bottom w:val="none" w:sz="0" w:space="0" w:color="auto"/>
        <w:right w:val="none" w:sz="0" w:space="0" w:color="auto"/>
      </w:divBdr>
    </w:div>
    <w:div w:id="403993650">
      <w:bodyDiv w:val="1"/>
      <w:marLeft w:val="0"/>
      <w:marRight w:val="0"/>
      <w:marTop w:val="0"/>
      <w:marBottom w:val="0"/>
      <w:divBdr>
        <w:top w:val="none" w:sz="0" w:space="0" w:color="auto"/>
        <w:left w:val="none" w:sz="0" w:space="0" w:color="auto"/>
        <w:bottom w:val="none" w:sz="0" w:space="0" w:color="auto"/>
        <w:right w:val="none" w:sz="0" w:space="0" w:color="auto"/>
      </w:divBdr>
    </w:div>
    <w:div w:id="496845082">
      <w:bodyDiv w:val="1"/>
      <w:marLeft w:val="0"/>
      <w:marRight w:val="0"/>
      <w:marTop w:val="0"/>
      <w:marBottom w:val="0"/>
      <w:divBdr>
        <w:top w:val="none" w:sz="0" w:space="0" w:color="auto"/>
        <w:left w:val="none" w:sz="0" w:space="0" w:color="auto"/>
        <w:bottom w:val="none" w:sz="0" w:space="0" w:color="auto"/>
        <w:right w:val="none" w:sz="0" w:space="0" w:color="auto"/>
      </w:divBdr>
    </w:div>
    <w:div w:id="563375828">
      <w:bodyDiv w:val="1"/>
      <w:marLeft w:val="0"/>
      <w:marRight w:val="0"/>
      <w:marTop w:val="0"/>
      <w:marBottom w:val="0"/>
      <w:divBdr>
        <w:top w:val="none" w:sz="0" w:space="0" w:color="auto"/>
        <w:left w:val="none" w:sz="0" w:space="0" w:color="auto"/>
        <w:bottom w:val="none" w:sz="0" w:space="0" w:color="auto"/>
        <w:right w:val="none" w:sz="0" w:space="0" w:color="auto"/>
      </w:divBdr>
    </w:div>
    <w:div w:id="747654312">
      <w:bodyDiv w:val="1"/>
      <w:marLeft w:val="0"/>
      <w:marRight w:val="0"/>
      <w:marTop w:val="0"/>
      <w:marBottom w:val="0"/>
      <w:divBdr>
        <w:top w:val="none" w:sz="0" w:space="0" w:color="auto"/>
        <w:left w:val="none" w:sz="0" w:space="0" w:color="auto"/>
        <w:bottom w:val="none" w:sz="0" w:space="0" w:color="auto"/>
        <w:right w:val="none" w:sz="0" w:space="0" w:color="auto"/>
      </w:divBdr>
      <w:divsChild>
        <w:div w:id="644821352">
          <w:marLeft w:val="288"/>
          <w:marRight w:val="0"/>
          <w:marTop w:val="0"/>
          <w:marBottom w:val="80"/>
          <w:divBdr>
            <w:top w:val="none" w:sz="0" w:space="0" w:color="auto"/>
            <w:left w:val="none" w:sz="0" w:space="0" w:color="auto"/>
            <w:bottom w:val="none" w:sz="0" w:space="0" w:color="auto"/>
            <w:right w:val="none" w:sz="0" w:space="0" w:color="auto"/>
          </w:divBdr>
        </w:div>
        <w:div w:id="986320144">
          <w:marLeft w:val="288"/>
          <w:marRight w:val="0"/>
          <w:marTop w:val="0"/>
          <w:marBottom w:val="80"/>
          <w:divBdr>
            <w:top w:val="none" w:sz="0" w:space="0" w:color="auto"/>
            <w:left w:val="none" w:sz="0" w:space="0" w:color="auto"/>
            <w:bottom w:val="none" w:sz="0" w:space="0" w:color="auto"/>
            <w:right w:val="none" w:sz="0" w:space="0" w:color="auto"/>
          </w:divBdr>
        </w:div>
        <w:div w:id="1275097070">
          <w:marLeft w:val="288"/>
          <w:marRight w:val="0"/>
          <w:marTop w:val="0"/>
          <w:marBottom w:val="80"/>
          <w:divBdr>
            <w:top w:val="none" w:sz="0" w:space="0" w:color="auto"/>
            <w:left w:val="none" w:sz="0" w:space="0" w:color="auto"/>
            <w:bottom w:val="none" w:sz="0" w:space="0" w:color="auto"/>
            <w:right w:val="none" w:sz="0" w:space="0" w:color="auto"/>
          </w:divBdr>
        </w:div>
        <w:div w:id="1970042982">
          <w:marLeft w:val="288"/>
          <w:marRight w:val="0"/>
          <w:marTop w:val="0"/>
          <w:marBottom w:val="80"/>
          <w:divBdr>
            <w:top w:val="none" w:sz="0" w:space="0" w:color="auto"/>
            <w:left w:val="none" w:sz="0" w:space="0" w:color="auto"/>
            <w:bottom w:val="none" w:sz="0" w:space="0" w:color="auto"/>
            <w:right w:val="none" w:sz="0" w:space="0" w:color="auto"/>
          </w:divBdr>
        </w:div>
      </w:divsChild>
    </w:div>
    <w:div w:id="838229295">
      <w:bodyDiv w:val="1"/>
      <w:marLeft w:val="0"/>
      <w:marRight w:val="0"/>
      <w:marTop w:val="0"/>
      <w:marBottom w:val="0"/>
      <w:divBdr>
        <w:top w:val="none" w:sz="0" w:space="0" w:color="auto"/>
        <w:left w:val="none" w:sz="0" w:space="0" w:color="auto"/>
        <w:bottom w:val="none" w:sz="0" w:space="0" w:color="auto"/>
        <w:right w:val="none" w:sz="0" w:space="0" w:color="auto"/>
      </w:divBdr>
      <w:divsChild>
        <w:div w:id="1207839842">
          <w:marLeft w:val="0"/>
          <w:marRight w:val="0"/>
          <w:marTop w:val="0"/>
          <w:marBottom w:val="0"/>
          <w:divBdr>
            <w:top w:val="none" w:sz="0" w:space="0" w:color="auto"/>
            <w:left w:val="none" w:sz="0" w:space="0" w:color="auto"/>
            <w:bottom w:val="none" w:sz="0" w:space="0" w:color="auto"/>
            <w:right w:val="none" w:sz="0" w:space="0" w:color="auto"/>
          </w:divBdr>
          <w:divsChild>
            <w:div w:id="19436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37389">
      <w:bodyDiv w:val="1"/>
      <w:marLeft w:val="0"/>
      <w:marRight w:val="0"/>
      <w:marTop w:val="0"/>
      <w:marBottom w:val="0"/>
      <w:divBdr>
        <w:top w:val="none" w:sz="0" w:space="0" w:color="auto"/>
        <w:left w:val="none" w:sz="0" w:space="0" w:color="auto"/>
        <w:bottom w:val="none" w:sz="0" w:space="0" w:color="auto"/>
        <w:right w:val="none" w:sz="0" w:space="0" w:color="auto"/>
      </w:divBdr>
      <w:divsChild>
        <w:div w:id="781270445">
          <w:marLeft w:val="288"/>
          <w:marRight w:val="0"/>
          <w:marTop w:val="0"/>
          <w:marBottom w:val="80"/>
          <w:divBdr>
            <w:top w:val="none" w:sz="0" w:space="0" w:color="auto"/>
            <w:left w:val="none" w:sz="0" w:space="0" w:color="auto"/>
            <w:bottom w:val="none" w:sz="0" w:space="0" w:color="auto"/>
            <w:right w:val="none" w:sz="0" w:space="0" w:color="auto"/>
          </w:divBdr>
        </w:div>
        <w:div w:id="787892609">
          <w:marLeft w:val="288"/>
          <w:marRight w:val="0"/>
          <w:marTop w:val="0"/>
          <w:marBottom w:val="80"/>
          <w:divBdr>
            <w:top w:val="none" w:sz="0" w:space="0" w:color="auto"/>
            <w:left w:val="none" w:sz="0" w:space="0" w:color="auto"/>
            <w:bottom w:val="none" w:sz="0" w:space="0" w:color="auto"/>
            <w:right w:val="none" w:sz="0" w:space="0" w:color="auto"/>
          </w:divBdr>
        </w:div>
        <w:div w:id="1889296025">
          <w:marLeft w:val="288"/>
          <w:marRight w:val="0"/>
          <w:marTop w:val="0"/>
          <w:marBottom w:val="80"/>
          <w:divBdr>
            <w:top w:val="none" w:sz="0" w:space="0" w:color="auto"/>
            <w:left w:val="none" w:sz="0" w:space="0" w:color="auto"/>
            <w:bottom w:val="none" w:sz="0" w:space="0" w:color="auto"/>
            <w:right w:val="none" w:sz="0" w:space="0" w:color="auto"/>
          </w:divBdr>
        </w:div>
      </w:divsChild>
    </w:div>
    <w:div w:id="1208832225">
      <w:bodyDiv w:val="1"/>
      <w:marLeft w:val="0"/>
      <w:marRight w:val="0"/>
      <w:marTop w:val="0"/>
      <w:marBottom w:val="0"/>
      <w:divBdr>
        <w:top w:val="none" w:sz="0" w:space="0" w:color="auto"/>
        <w:left w:val="none" w:sz="0" w:space="0" w:color="auto"/>
        <w:bottom w:val="none" w:sz="0" w:space="0" w:color="auto"/>
        <w:right w:val="none" w:sz="0" w:space="0" w:color="auto"/>
      </w:divBdr>
    </w:div>
    <w:div w:id="1440953297">
      <w:bodyDiv w:val="1"/>
      <w:marLeft w:val="0"/>
      <w:marRight w:val="0"/>
      <w:marTop w:val="0"/>
      <w:marBottom w:val="0"/>
      <w:divBdr>
        <w:top w:val="none" w:sz="0" w:space="0" w:color="auto"/>
        <w:left w:val="none" w:sz="0" w:space="0" w:color="auto"/>
        <w:bottom w:val="none" w:sz="0" w:space="0" w:color="auto"/>
        <w:right w:val="none" w:sz="0" w:space="0" w:color="auto"/>
      </w:divBdr>
    </w:div>
    <w:div w:id="1682202604">
      <w:bodyDiv w:val="1"/>
      <w:marLeft w:val="0"/>
      <w:marRight w:val="0"/>
      <w:marTop w:val="0"/>
      <w:marBottom w:val="0"/>
      <w:divBdr>
        <w:top w:val="none" w:sz="0" w:space="0" w:color="auto"/>
        <w:left w:val="none" w:sz="0" w:space="0" w:color="auto"/>
        <w:bottom w:val="none" w:sz="0" w:space="0" w:color="auto"/>
        <w:right w:val="none" w:sz="0" w:space="0" w:color="auto"/>
      </w:divBdr>
    </w:div>
    <w:div w:id="1686127236">
      <w:bodyDiv w:val="1"/>
      <w:marLeft w:val="0"/>
      <w:marRight w:val="0"/>
      <w:marTop w:val="0"/>
      <w:marBottom w:val="0"/>
      <w:divBdr>
        <w:top w:val="none" w:sz="0" w:space="0" w:color="auto"/>
        <w:left w:val="none" w:sz="0" w:space="0" w:color="auto"/>
        <w:bottom w:val="none" w:sz="0" w:space="0" w:color="auto"/>
        <w:right w:val="none" w:sz="0" w:space="0" w:color="auto"/>
      </w:divBdr>
      <w:divsChild>
        <w:div w:id="1808205587">
          <w:marLeft w:val="0"/>
          <w:marRight w:val="0"/>
          <w:marTop w:val="0"/>
          <w:marBottom w:val="0"/>
          <w:divBdr>
            <w:top w:val="none" w:sz="0" w:space="0" w:color="auto"/>
            <w:left w:val="none" w:sz="0" w:space="0" w:color="auto"/>
            <w:bottom w:val="none" w:sz="0" w:space="0" w:color="auto"/>
            <w:right w:val="none" w:sz="0" w:space="0" w:color="auto"/>
          </w:divBdr>
          <w:divsChild>
            <w:div w:id="711883197">
              <w:marLeft w:val="0"/>
              <w:marRight w:val="0"/>
              <w:marTop w:val="0"/>
              <w:marBottom w:val="0"/>
              <w:divBdr>
                <w:top w:val="none" w:sz="0" w:space="0" w:color="auto"/>
                <w:left w:val="none" w:sz="0" w:space="0" w:color="auto"/>
                <w:bottom w:val="none" w:sz="0" w:space="0" w:color="auto"/>
                <w:right w:val="none" w:sz="0" w:space="0" w:color="auto"/>
              </w:divBdr>
              <w:divsChild>
                <w:div w:id="1891304082">
                  <w:marLeft w:val="0"/>
                  <w:marRight w:val="0"/>
                  <w:marTop w:val="0"/>
                  <w:marBottom w:val="0"/>
                  <w:divBdr>
                    <w:top w:val="none" w:sz="0" w:space="0" w:color="auto"/>
                    <w:left w:val="none" w:sz="0" w:space="0" w:color="auto"/>
                    <w:bottom w:val="none" w:sz="0" w:space="0" w:color="auto"/>
                    <w:right w:val="none" w:sz="0" w:space="0" w:color="auto"/>
                  </w:divBdr>
                  <w:divsChild>
                    <w:div w:id="1462459161">
                      <w:marLeft w:val="0"/>
                      <w:marRight w:val="0"/>
                      <w:marTop w:val="0"/>
                      <w:marBottom w:val="0"/>
                      <w:divBdr>
                        <w:top w:val="none" w:sz="0" w:space="0" w:color="auto"/>
                        <w:left w:val="none" w:sz="0" w:space="0" w:color="auto"/>
                        <w:bottom w:val="none" w:sz="0" w:space="0" w:color="auto"/>
                        <w:right w:val="none" w:sz="0" w:space="0" w:color="auto"/>
                      </w:divBdr>
                      <w:divsChild>
                        <w:div w:id="700475852">
                          <w:marLeft w:val="0"/>
                          <w:marRight w:val="0"/>
                          <w:marTop w:val="0"/>
                          <w:marBottom w:val="0"/>
                          <w:divBdr>
                            <w:top w:val="none" w:sz="0" w:space="0" w:color="auto"/>
                            <w:left w:val="none" w:sz="0" w:space="0" w:color="auto"/>
                            <w:bottom w:val="none" w:sz="0" w:space="0" w:color="auto"/>
                            <w:right w:val="none" w:sz="0" w:space="0" w:color="auto"/>
                          </w:divBdr>
                          <w:divsChild>
                            <w:div w:id="126356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956200">
      <w:bodyDiv w:val="1"/>
      <w:marLeft w:val="0"/>
      <w:marRight w:val="0"/>
      <w:marTop w:val="0"/>
      <w:marBottom w:val="0"/>
      <w:divBdr>
        <w:top w:val="none" w:sz="0" w:space="0" w:color="auto"/>
        <w:left w:val="none" w:sz="0" w:space="0" w:color="auto"/>
        <w:bottom w:val="none" w:sz="0" w:space="0" w:color="auto"/>
        <w:right w:val="none" w:sz="0" w:space="0" w:color="auto"/>
      </w:divBdr>
      <w:divsChild>
        <w:div w:id="364059416">
          <w:marLeft w:val="288"/>
          <w:marRight w:val="0"/>
          <w:marTop w:val="0"/>
          <w:marBottom w:val="80"/>
          <w:divBdr>
            <w:top w:val="none" w:sz="0" w:space="0" w:color="auto"/>
            <w:left w:val="none" w:sz="0" w:space="0" w:color="auto"/>
            <w:bottom w:val="none" w:sz="0" w:space="0" w:color="auto"/>
            <w:right w:val="none" w:sz="0" w:space="0" w:color="auto"/>
          </w:divBdr>
        </w:div>
        <w:div w:id="1459226992">
          <w:marLeft w:val="288"/>
          <w:marRight w:val="0"/>
          <w:marTop w:val="0"/>
          <w:marBottom w:val="80"/>
          <w:divBdr>
            <w:top w:val="none" w:sz="0" w:space="0" w:color="auto"/>
            <w:left w:val="none" w:sz="0" w:space="0" w:color="auto"/>
            <w:bottom w:val="none" w:sz="0" w:space="0" w:color="auto"/>
            <w:right w:val="none" w:sz="0" w:space="0" w:color="auto"/>
          </w:divBdr>
        </w:div>
        <w:div w:id="1856116236">
          <w:marLeft w:val="288"/>
          <w:marRight w:val="0"/>
          <w:marTop w:val="0"/>
          <w:marBottom w:val="80"/>
          <w:divBdr>
            <w:top w:val="none" w:sz="0" w:space="0" w:color="auto"/>
            <w:left w:val="none" w:sz="0" w:space="0" w:color="auto"/>
            <w:bottom w:val="none" w:sz="0" w:space="0" w:color="auto"/>
            <w:right w:val="none" w:sz="0" w:space="0" w:color="auto"/>
          </w:divBdr>
        </w:div>
      </w:divsChild>
    </w:div>
    <w:div w:id="1738089368">
      <w:bodyDiv w:val="1"/>
      <w:marLeft w:val="0"/>
      <w:marRight w:val="0"/>
      <w:marTop w:val="0"/>
      <w:marBottom w:val="0"/>
      <w:divBdr>
        <w:top w:val="none" w:sz="0" w:space="0" w:color="auto"/>
        <w:left w:val="none" w:sz="0" w:space="0" w:color="auto"/>
        <w:bottom w:val="none" w:sz="0" w:space="0" w:color="auto"/>
        <w:right w:val="none" w:sz="0" w:space="0" w:color="auto"/>
      </w:divBdr>
    </w:div>
    <w:div w:id="1943564461">
      <w:bodyDiv w:val="1"/>
      <w:marLeft w:val="0"/>
      <w:marRight w:val="0"/>
      <w:marTop w:val="0"/>
      <w:marBottom w:val="0"/>
      <w:divBdr>
        <w:top w:val="none" w:sz="0" w:space="0" w:color="auto"/>
        <w:left w:val="none" w:sz="0" w:space="0" w:color="auto"/>
        <w:bottom w:val="none" w:sz="0" w:space="0" w:color="auto"/>
        <w:right w:val="none" w:sz="0" w:space="0" w:color="auto"/>
      </w:divBdr>
    </w:div>
    <w:div w:id="2125880434">
      <w:bodyDiv w:val="1"/>
      <w:marLeft w:val="0"/>
      <w:marRight w:val="0"/>
      <w:marTop w:val="0"/>
      <w:marBottom w:val="0"/>
      <w:divBdr>
        <w:top w:val="none" w:sz="0" w:space="0" w:color="auto"/>
        <w:left w:val="none" w:sz="0" w:space="0" w:color="auto"/>
        <w:bottom w:val="none" w:sz="0" w:space="0" w:color="auto"/>
        <w:right w:val="none" w:sz="0" w:space="0" w:color="auto"/>
      </w:divBdr>
      <w:divsChild>
        <w:div w:id="1542204979">
          <w:marLeft w:val="0"/>
          <w:marRight w:val="0"/>
          <w:marTop w:val="0"/>
          <w:marBottom w:val="0"/>
          <w:divBdr>
            <w:top w:val="none" w:sz="0" w:space="0" w:color="auto"/>
            <w:left w:val="none" w:sz="0" w:space="0" w:color="auto"/>
            <w:bottom w:val="none" w:sz="0" w:space="0" w:color="auto"/>
            <w:right w:val="none" w:sz="0" w:space="0" w:color="auto"/>
          </w:divBdr>
          <w:divsChild>
            <w:div w:id="1141967845">
              <w:marLeft w:val="0"/>
              <w:marRight w:val="0"/>
              <w:marTop w:val="0"/>
              <w:marBottom w:val="0"/>
              <w:divBdr>
                <w:top w:val="none" w:sz="0" w:space="0" w:color="auto"/>
                <w:left w:val="none" w:sz="0" w:space="0" w:color="auto"/>
                <w:bottom w:val="none" w:sz="0" w:space="0" w:color="auto"/>
                <w:right w:val="none" w:sz="0" w:space="0" w:color="auto"/>
              </w:divBdr>
              <w:divsChild>
                <w:div w:id="1444224674">
                  <w:marLeft w:val="0"/>
                  <w:marRight w:val="0"/>
                  <w:marTop w:val="0"/>
                  <w:marBottom w:val="0"/>
                  <w:divBdr>
                    <w:top w:val="none" w:sz="0" w:space="0" w:color="auto"/>
                    <w:left w:val="none" w:sz="0" w:space="0" w:color="auto"/>
                    <w:bottom w:val="none" w:sz="0" w:space="0" w:color="auto"/>
                    <w:right w:val="none" w:sz="0" w:space="0" w:color="auto"/>
                  </w:divBdr>
                  <w:divsChild>
                    <w:div w:id="182165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theme/theme1.xml><?xml version="1.0" encoding="utf-8"?>
<a:theme xmlns:a="http://schemas.openxmlformats.org/drawingml/2006/main" name="BNPP">
  <a:themeElements>
    <a:clrScheme name="BNPP">
      <a:dk1>
        <a:srgbClr val="000000"/>
      </a:dk1>
      <a:lt1>
        <a:srgbClr val="FFFFFF"/>
      </a:lt1>
      <a:dk2>
        <a:srgbClr val="939598"/>
      </a:dk2>
      <a:lt2>
        <a:srgbClr val="F0F0F0"/>
      </a:lt2>
      <a:accent1>
        <a:srgbClr val="00A76C"/>
      </a:accent1>
      <a:accent2>
        <a:srgbClr val="82A44A"/>
      </a:accent2>
      <a:accent3>
        <a:srgbClr val="BFBFBF"/>
      </a:accent3>
      <a:accent4>
        <a:srgbClr val="D2DCAA"/>
      </a:accent4>
      <a:accent5>
        <a:srgbClr val="A0C873"/>
      </a:accent5>
      <a:accent6>
        <a:srgbClr val="00A76C"/>
      </a:accent6>
      <a:hlink>
        <a:srgbClr val="A0C873"/>
      </a:hlink>
      <a:folHlink>
        <a:srgbClr val="3C9146"/>
      </a:folHlink>
    </a:clrScheme>
    <a:fontScheme name="BNP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175">
          <a:noFill/>
        </a:ln>
      </a:spPr>
      <a:bodyPr rot="0" spcFirstLastPara="0" vertOverflow="overflow" horzOverflow="overflow" vert="horz" wrap="square" lIns="91440" tIns="90000" rIns="91440" bIns="90000" numCol="1" spcCol="0" rtlCol="0" fromWordArt="0" anchor="ctr" anchorCtr="0" forceAA="0" compatLnSpc="1">
        <a:prstTxWarp prst="textNoShape">
          <a:avLst/>
        </a:prstTxWarp>
        <a:noAutofit/>
      </a:bodyPr>
      <a:lstStyle>
        <a:defPPr algn="ctr">
          <a:defRPr sz="14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defRPr sz="1400" dirty="0" smtClean="0">
            <a:solidFill>
              <a:schemeClr val="accent4"/>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230dca-0cd0-43dc-a2ef-c97d32cd25e2">
      <Terms xmlns="http://schemas.microsoft.com/office/infopath/2007/PartnerControls"/>
    </lcf76f155ced4ddcb4097134ff3c332f>
    <TaxCatchAll xmlns="db2df73f-c36a-4763-b158-b44f2135c3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9C92B74DE88A04B8B59D7C6E1CF21DA" ma:contentTypeVersion="13" ma:contentTypeDescription="Utwórz nowy dokument." ma:contentTypeScope="" ma:versionID="ec29fecd7283749ed6b0cd85b87eb508">
  <xsd:schema xmlns:xsd="http://www.w3.org/2001/XMLSchema" xmlns:xs="http://www.w3.org/2001/XMLSchema" xmlns:p="http://schemas.microsoft.com/office/2006/metadata/properties" xmlns:ns2="2e230dca-0cd0-43dc-a2ef-c97d32cd25e2" xmlns:ns3="db2df73f-c36a-4763-b158-b44f2135c319" targetNamespace="http://schemas.microsoft.com/office/2006/metadata/properties" ma:root="true" ma:fieldsID="4eaa2aec0c1b9958b901aaa38d278451" ns2:_="" ns3:_="">
    <xsd:import namespace="2e230dca-0cd0-43dc-a2ef-c97d32cd25e2"/>
    <xsd:import namespace="db2df73f-c36a-4763-b158-b44f2135c3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30dca-0cd0-43dc-a2ef-c97d32cd2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bb2b9f1-d9ff-4113-82f7-14441253dc3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2df73f-c36a-4763-b158-b44f2135c3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479cf4-cc41-4a28-9253-c5622a1b090d}" ma:internalName="TaxCatchAll" ma:showField="CatchAllData" ma:web="db2df73f-c36a-4763-b158-b44f2135c31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66139-FC72-4ADE-8E7D-928285055A99}">
  <ds:schemaRefs>
    <ds:schemaRef ds:uri="http://schemas.microsoft.com/office/2006/metadata/properties"/>
    <ds:schemaRef ds:uri="http://schemas.microsoft.com/office/infopath/2007/PartnerControls"/>
    <ds:schemaRef ds:uri="2e230dca-0cd0-43dc-a2ef-c97d32cd25e2"/>
    <ds:schemaRef ds:uri="db2df73f-c36a-4763-b158-b44f2135c319"/>
  </ds:schemaRefs>
</ds:datastoreItem>
</file>

<file path=customXml/itemProps2.xml><?xml version="1.0" encoding="utf-8"?>
<ds:datastoreItem xmlns:ds="http://schemas.openxmlformats.org/officeDocument/2006/customXml" ds:itemID="{DB642381-2AAD-450E-ADD1-23358E97D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30dca-0cd0-43dc-a2ef-c97d32cd25e2"/>
    <ds:schemaRef ds:uri="db2df73f-c36a-4763-b158-b44f2135c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E0BF8F-CC55-410E-9075-6AF0FE1BDB94}">
  <ds:schemaRefs>
    <ds:schemaRef ds:uri="http://schemas.microsoft.com/sharepoint/v3/contenttype/forms"/>
  </ds:schemaRefs>
</ds:datastoreItem>
</file>

<file path=customXml/itemProps4.xml><?xml version="1.0" encoding="utf-8"?>
<ds:datastoreItem xmlns:ds="http://schemas.openxmlformats.org/officeDocument/2006/customXml" ds:itemID="{40861FF3-4EFD-4E0C-87B5-7FE4E59CD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588</Words>
  <Characters>3533</Characters>
  <Application>Microsoft Office Word</Application>
  <DocSecurity>0</DocSecurity>
  <Lines>29</Lines>
  <Paragraphs>8</Paragraphs>
  <ScaleCrop>false</ScaleCrop>
  <Company>Microsoft</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KOLODZIEJCZYK Boleslaw</dc:creator>
  <cp:keywords/>
  <dc:description/>
  <cp:lastModifiedBy>Tomasz GARDZIEWICZ</cp:lastModifiedBy>
  <cp:revision>4</cp:revision>
  <cp:lastPrinted>2017-01-06T12:50:00Z</cp:lastPrinted>
  <dcterms:created xsi:type="dcterms:W3CDTF">2026-08-24T12:30:00Z</dcterms:created>
  <dcterms:modified xsi:type="dcterms:W3CDTF">2026-08-24T14:16:00Z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12e1ed0-4700-41e0-aec3-61ed249f3333_Enabled">
    <vt:lpwstr>true</vt:lpwstr>
  </property>
  <property fmtid="{D5CDD505-2E9C-101B-9397-08002B2CF9AE}" pid="3" name="MSIP_Label_812e1ed0-4700-41e0-aec3-61ed249f3333_SetDate">
    <vt:lpwstr>2022-03-22T15:04:34Z</vt:lpwstr>
  </property>
  <property fmtid="{D5CDD505-2E9C-101B-9397-08002B2CF9AE}" pid="4" name="MSIP_Label_812e1ed0-4700-41e0-aec3-61ed249f3333_Method">
    <vt:lpwstr>Standard</vt:lpwstr>
  </property>
  <property fmtid="{D5CDD505-2E9C-101B-9397-08002B2CF9AE}" pid="5" name="MSIP_Label_812e1ed0-4700-41e0-aec3-61ed249f3333_Name">
    <vt:lpwstr>Internal - Standard</vt:lpwstr>
  </property>
  <property fmtid="{D5CDD505-2E9C-101B-9397-08002B2CF9AE}" pid="6" name="MSIP_Label_812e1ed0-4700-41e0-aec3-61ed249f3333_SiteId">
    <vt:lpwstr>614f9c25-bffa-42c7-86d8-964101f55fa2</vt:lpwstr>
  </property>
  <property fmtid="{D5CDD505-2E9C-101B-9397-08002B2CF9AE}" pid="7" name="MSIP_Label_812e1ed0-4700-41e0-aec3-61ed249f3333_ActionId">
    <vt:lpwstr>701a12f8-56de-432e-9945-65ac6947e259</vt:lpwstr>
  </property>
  <property fmtid="{D5CDD505-2E9C-101B-9397-08002B2CF9AE}" pid="8" name="MSIP_Label_812e1ed0-4700-41e0-aec3-61ed249f3333_ContentBits">
    <vt:lpwstr>2</vt:lpwstr>
  </property>
  <property fmtid="{D5CDD505-2E9C-101B-9397-08002B2CF9AE}" pid="9" name="ContentTypeId">
    <vt:lpwstr>0x01010039C92B74DE88A04B8B59D7C6E1CF21DA</vt:lpwstr>
  </property>
  <property fmtid="{D5CDD505-2E9C-101B-9397-08002B2CF9AE}" pid="10" name="MediaServiceImageTags">
    <vt:lpwstr/>
  </property>
</Properties>
</file>